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D7" w:rsidRPr="00472ED7" w:rsidRDefault="00472ED7" w:rsidP="00472ED7">
      <w:pPr>
        <w:widowControl/>
        <w:shd w:val="clear" w:color="auto" w:fill="FFFFFF"/>
        <w:snapToGrid w:val="0"/>
        <w:spacing w:line="324" w:lineRule="auto"/>
        <w:ind w:firstLineChars="200" w:firstLine="480"/>
        <w:jc w:val="center"/>
        <w:rPr>
          <w:rFonts w:ascii="黑体" w:eastAsia="黑体" w:hAnsi="黑体" w:hint="eastAsia"/>
          <w:color w:val="000000"/>
          <w:kern w:val="0"/>
          <w:sz w:val="24"/>
          <w:szCs w:val="24"/>
        </w:rPr>
      </w:pPr>
      <w:r w:rsidRPr="00472ED7">
        <w:rPr>
          <w:rFonts w:ascii="黑体" w:eastAsia="黑体" w:hAnsi="黑体" w:hint="eastAsia"/>
          <w:color w:val="000000"/>
          <w:kern w:val="0"/>
          <w:sz w:val="24"/>
          <w:szCs w:val="24"/>
        </w:rPr>
        <w:t>竞赛题目：《施工平台结构设计与模型制作》</w:t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．模型制作及加载系统</w:t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 xml:space="preserve">1.1 </w:t>
      </w:r>
      <w:r>
        <w:rPr>
          <w:rFonts w:hint="eastAsia"/>
        </w:rPr>
        <w:t>模型要求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竞赛模型为施工平台模型，具体结构形式要求：结构体系不限，层数不限，立柱位置数量不限。模型总高</w:t>
      </w:r>
      <w:r>
        <w:rPr>
          <w:rFonts w:hint="eastAsia"/>
        </w:rPr>
        <w:t>500mm</w:t>
      </w:r>
      <w:r>
        <w:rPr>
          <w:rFonts w:hint="eastAsia"/>
        </w:rPr>
        <w:t>（误差±</w:t>
      </w:r>
      <w:r>
        <w:rPr>
          <w:rFonts w:hint="eastAsia"/>
        </w:rPr>
        <w:t>5mm</w:t>
      </w:r>
      <w:r>
        <w:rPr>
          <w:rFonts w:hint="eastAsia"/>
        </w:rPr>
        <w:t>），水平投影外圈连续且为正方形，正方形投影边长为</w:t>
      </w:r>
      <w:r>
        <w:rPr>
          <w:rFonts w:hint="eastAsia"/>
        </w:rPr>
        <w:t>600mm</w:t>
      </w:r>
      <w:r>
        <w:rPr>
          <w:rFonts w:hint="eastAsia"/>
        </w:rPr>
        <w:t>（误差±</w:t>
      </w:r>
      <w:r>
        <w:rPr>
          <w:rFonts w:hint="eastAsia"/>
        </w:rPr>
        <w:t>5mm</w:t>
      </w:r>
      <w:r>
        <w:rPr>
          <w:rFonts w:hint="eastAsia"/>
        </w:rPr>
        <w:t>），顶层预起拱不大于</w:t>
      </w:r>
      <w:r>
        <w:rPr>
          <w:rFonts w:hint="eastAsia"/>
        </w:rPr>
        <w:t>10mm</w:t>
      </w:r>
      <w:r>
        <w:rPr>
          <w:rFonts w:hint="eastAsia"/>
        </w:rPr>
        <w:t>，以确保模型顶面能够平稳放置加载板，不符合要求的模型直接取消比赛资格。</w:t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 xml:space="preserve">1.2 </w:t>
      </w:r>
      <w:r>
        <w:rPr>
          <w:rFonts w:hint="eastAsia"/>
        </w:rPr>
        <w:t>模型制作材料及工具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集成竹杆材：规格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6mm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3mm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 xml:space="preserve">2mm 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×</w:t>
      </w:r>
      <w:r>
        <w:rPr>
          <w:rFonts w:hint="eastAsia"/>
        </w:rPr>
        <w:t>6mm</w:t>
      </w:r>
      <w:r>
        <w:rPr>
          <w:rFonts w:hint="eastAsia"/>
        </w:rPr>
        <w:t>，每根长</w:t>
      </w:r>
      <w:r>
        <w:rPr>
          <w:rFonts w:hint="eastAsia"/>
        </w:rPr>
        <w:t>900mm</w:t>
      </w:r>
      <w:r>
        <w:rPr>
          <w:rFonts w:hint="eastAsia"/>
        </w:rPr>
        <w:t>，各</w:t>
      </w:r>
      <w:r>
        <w:rPr>
          <w:rFonts w:hint="eastAsia"/>
        </w:rPr>
        <w:t>30</w:t>
      </w:r>
      <w:r>
        <w:rPr>
          <w:rFonts w:hint="eastAsia"/>
        </w:rPr>
        <w:t>根。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集成竹的力学性能参考指标为：密度</w:t>
      </w:r>
      <w:r>
        <w:rPr>
          <w:rFonts w:hint="eastAsia"/>
        </w:rPr>
        <w:t>0.789g/cm3</w:t>
      </w:r>
      <w:r>
        <w:rPr>
          <w:rFonts w:hint="eastAsia"/>
        </w:rPr>
        <w:t>，顺纹抗拉强度</w:t>
      </w:r>
      <w:r>
        <w:rPr>
          <w:rFonts w:hint="eastAsia"/>
        </w:rPr>
        <w:t>150MPa</w:t>
      </w:r>
      <w:r>
        <w:rPr>
          <w:rFonts w:hint="eastAsia"/>
        </w:rPr>
        <w:t>，抗压强度</w:t>
      </w:r>
      <w:r>
        <w:rPr>
          <w:rFonts w:hint="eastAsia"/>
        </w:rPr>
        <w:t>65MPa</w:t>
      </w:r>
      <w:r>
        <w:rPr>
          <w:rFonts w:hint="eastAsia"/>
        </w:rPr>
        <w:t>，弹性模量</w:t>
      </w:r>
      <w:r>
        <w:rPr>
          <w:rFonts w:hint="eastAsia"/>
        </w:rPr>
        <w:t>10GPa</w:t>
      </w:r>
      <w:r>
        <w:rPr>
          <w:rFonts w:hint="eastAsia"/>
        </w:rPr>
        <w:t>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棉蜡线：</w:t>
      </w:r>
      <w:r>
        <w:rPr>
          <w:rFonts w:hint="eastAsia"/>
        </w:rPr>
        <w:t>20</w:t>
      </w:r>
      <w:r>
        <w:rPr>
          <w:rFonts w:hint="eastAsia"/>
        </w:rPr>
        <w:t>米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胶结材料：</w:t>
      </w:r>
      <w:r>
        <w:rPr>
          <w:rFonts w:hint="eastAsia"/>
        </w:rPr>
        <w:t>502</w:t>
      </w:r>
      <w:r>
        <w:rPr>
          <w:rFonts w:hint="eastAsia"/>
        </w:rPr>
        <w:t>胶（</w:t>
      </w:r>
      <w:r>
        <w:rPr>
          <w:rFonts w:hint="eastAsia"/>
        </w:rPr>
        <w:t>8g</w:t>
      </w:r>
      <w:r>
        <w:rPr>
          <w:rFonts w:hint="eastAsia"/>
        </w:rPr>
        <w:t>装），</w:t>
      </w:r>
      <w:r>
        <w:rPr>
          <w:rFonts w:hint="eastAsia"/>
        </w:rPr>
        <w:t>5</w:t>
      </w:r>
      <w:r>
        <w:rPr>
          <w:rFonts w:hint="eastAsia"/>
        </w:rPr>
        <w:t>瓶。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制作工具：组委会提供（尺子、简单刀具、砂纸、剪刀、手套、橡皮、笔等，见附件一工具列表）。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模型制作期间不允许携带任何物品（除图纸外）入场。</w:t>
      </w:r>
      <w:r>
        <w:rPr>
          <w:rFonts w:hint="eastAsia"/>
        </w:rPr>
        <w:t xml:space="preserve"> </w:t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 xml:space="preserve">1.3 </w:t>
      </w:r>
      <w:r>
        <w:rPr>
          <w:rFonts w:hint="eastAsia"/>
        </w:rPr>
        <w:t>加载系统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加载系统由加载装置和加载板两部分组成，加载装置具体尺寸如图</w:t>
      </w:r>
      <w:r>
        <w:rPr>
          <w:rFonts w:hint="eastAsia"/>
        </w:rPr>
        <w:t>1</w:t>
      </w:r>
      <w:r>
        <w:rPr>
          <w:rFonts w:hint="eastAsia"/>
        </w:rPr>
        <w:t>所示，加载板的具体尺寸如图</w:t>
      </w:r>
      <w:r>
        <w:rPr>
          <w:rFonts w:hint="eastAsia"/>
        </w:rPr>
        <w:t>2</w:t>
      </w:r>
      <w:r>
        <w:rPr>
          <w:rFonts w:hint="eastAsia"/>
        </w:rPr>
        <w:t>所示。加载装置中水平防护杆上设有</w:t>
      </w:r>
      <w:r>
        <w:rPr>
          <w:rFonts w:hint="eastAsia"/>
        </w:rPr>
        <w:t>4</w:t>
      </w:r>
      <w:r>
        <w:rPr>
          <w:rFonts w:hint="eastAsia"/>
        </w:rPr>
        <w:t>个限位传感器，限位传感器竖直限位，传感器触发平面离地高度为</w:t>
      </w:r>
      <w:r>
        <w:rPr>
          <w:rFonts w:hint="eastAsia"/>
        </w:rPr>
        <w:t>485mm</w:t>
      </w:r>
      <w:r>
        <w:rPr>
          <w:rFonts w:hint="eastAsia"/>
        </w:rPr>
        <w:t>。加载过程中加载板触碰任意一个或几个限位传感器的触发平面时，将触发报警。</w:t>
      </w:r>
    </w:p>
    <w:p w:rsidR="00472ED7" w:rsidRDefault="00472ED7" w:rsidP="00472ED7">
      <w:pPr>
        <w:rPr>
          <w:rFonts w:hint="eastAsia"/>
        </w:rPr>
      </w:pPr>
    </w:p>
    <w:p w:rsidR="00472ED7" w:rsidRDefault="00472ED7" w:rsidP="00472ED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1770" cy="4349115"/>
            <wp:effectExtent l="1905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434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ED7" w:rsidRDefault="00472ED7" w:rsidP="00472ED7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3260090"/>
            <wp:effectExtent l="1905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26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ED7" w:rsidRDefault="00472ED7" w:rsidP="00472ED7">
      <w:pPr>
        <w:rPr>
          <w:rFonts w:hint="eastAsia"/>
        </w:rPr>
      </w:pPr>
    </w:p>
    <w:p w:rsidR="00472ED7" w:rsidRDefault="00472ED7" w:rsidP="00472ED7">
      <w:pPr>
        <w:rPr>
          <w:rFonts w:hint="eastAsia"/>
        </w:rPr>
      </w:pPr>
    </w:p>
    <w:p w:rsidR="00472ED7" w:rsidRDefault="00472ED7" w:rsidP="00472ED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1770" cy="3466465"/>
            <wp:effectExtent l="1905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46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ED7" w:rsidRDefault="00472ED7" w:rsidP="00472ED7">
      <w:pPr>
        <w:rPr>
          <w:rFonts w:hint="eastAsia"/>
        </w:rPr>
      </w:pPr>
    </w:p>
    <w:p w:rsidR="00472ED7" w:rsidRDefault="00472ED7" w:rsidP="00472ED7">
      <w:pPr>
        <w:rPr>
          <w:rFonts w:hint="eastAsia"/>
        </w:rPr>
      </w:pPr>
    </w:p>
    <w:p w:rsidR="00472ED7" w:rsidRDefault="00472ED7" w:rsidP="00472ED7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50130" cy="4866005"/>
            <wp:effectExtent l="1905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486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 xml:space="preserve">2.  </w:t>
      </w:r>
      <w:r>
        <w:rPr>
          <w:rFonts w:hint="eastAsia"/>
        </w:rPr>
        <w:t>加载测试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加载过程模拟平台结构施工堆载。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每个参赛队的全部加载试验时间控制在</w:t>
      </w:r>
      <w:r>
        <w:rPr>
          <w:rFonts w:hint="eastAsia"/>
        </w:rPr>
        <w:t>4min</w:t>
      </w:r>
      <w:r>
        <w:rPr>
          <w:rFonts w:hint="eastAsia"/>
        </w:rPr>
        <w:t>内（模型放入加载装置时开始计时）。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参赛选手首先将模型放入加载装置，使模型水平投影面全部位于加载装置底部指定区域内（见图</w:t>
      </w:r>
      <w:r>
        <w:rPr>
          <w:rFonts w:hint="eastAsia"/>
        </w:rPr>
        <w:t>1b</w:t>
      </w:r>
      <w:r>
        <w:rPr>
          <w:rFonts w:hint="eastAsia"/>
        </w:rPr>
        <w:t>阴影部分），然后把轻质加载板放置在模型上，使加载板指定区域（见图</w:t>
      </w:r>
      <w:r>
        <w:rPr>
          <w:rFonts w:hint="eastAsia"/>
        </w:rPr>
        <w:t>2</w:t>
      </w:r>
      <w:r>
        <w:rPr>
          <w:rFonts w:hint="eastAsia"/>
        </w:rPr>
        <w:t>阴影部分）全部包络模型水平外投影面；如不符合上述放置要求，视为加载失败。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模型加载分为一级加载和二级加载试验两部分，加载规则如下：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2.1</w:t>
      </w:r>
      <w:r>
        <w:rPr>
          <w:rFonts w:hint="eastAsia"/>
        </w:rPr>
        <w:t>一级加载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每组参赛选手中第一人从距地面高</w:t>
      </w:r>
      <w:r>
        <w:rPr>
          <w:rFonts w:hint="eastAsia"/>
        </w:rPr>
        <w:t>50cm</w:t>
      </w:r>
      <w:r>
        <w:rPr>
          <w:rFonts w:hint="eastAsia"/>
        </w:rPr>
        <w:t>台阶走到加载板上，选手可适当调整位置使双脚同时站立于加载板指定区域内，站稳后，将双手向上举起，选手示意开始计时，计时期间双脚不能移动，持续时间不少于</w:t>
      </w:r>
      <w:r>
        <w:rPr>
          <w:rFonts w:hint="eastAsia"/>
        </w:rPr>
        <w:t>10</w:t>
      </w:r>
      <w:r>
        <w:rPr>
          <w:rFonts w:hint="eastAsia"/>
        </w:rPr>
        <w:t>秒；一级加载通过，选手可自行选择是否进行二级加载，如进行二级加载，站立于加载板上的第一位选手不得离开加载板。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 xml:space="preserve">2.2 </w:t>
      </w:r>
      <w:r>
        <w:rPr>
          <w:rFonts w:hint="eastAsia"/>
        </w:rPr>
        <w:t>二级加载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参赛选手中第二人从距地面高</w:t>
      </w:r>
      <w:r>
        <w:rPr>
          <w:rFonts w:hint="eastAsia"/>
        </w:rPr>
        <w:t>50cm</w:t>
      </w:r>
      <w:r>
        <w:rPr>
          <w:rFonts w:hint="eastAsia"/>
        </w:rPr>
        <w:t>台阶走到加载板上，两位选手可适当调整位置使双脚同时站立于加载板指定区域内，站稳后，两位选手同时将双手向上举起，选手示意开始计时，计时期间选手双脚不能移动，持续时间不少于</w:t>
      </w:r>
      <w:r>
        <w:rPr>
          <w:rFonts w:hint="eastAsia"/>
        </w:rPr>
        <w:t>10</w:t>
      </w:r>
      <w:r>
        <w:rPr>
          <w:rFonts w:hint="eastAsia"/>
        </w:rPr>
        <w:t>秒。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在任何一级加载中，当模型出现以下任一情况时，即视为加载失败，退出比赛：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）模型坍塌、倒塌；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）触发限位传感器报警装置，报警声响起；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）选手示意开始计时后，加载时间少于</w:t>
      </w:r>
      <w:r>
        <w:rPr>
          <w:rFonts w:hint="eastAsia"/>
        </w:rPr>
        <w:t>10</w:t>
      </w:r>
      <w:r>
        <w:rPr>
          <w:rFonts w:hint="eastAsia"/>
        </w:rPr>
        <w:t>秒；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）选手示意开始计时后，双脚没有同时站立于加载板指定区域内或双脚发生移动；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）选手示意开始计时后，加载板触碰到加载装置水平防护杆；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）专家判断认为模型加载失效。</w:t>
      </w:r>
    </w:p>
    <w:p w:rsidR="00472ED7" w:rsidRDefault="00472ED7" w:rsidP="00472ED7">
      <w:pPr>
        <w:outlineLvl w:val="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评分规则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根据理论方案、结构体系、模型制作、陈述与答辩、加载测试</w:t>
      </w:r>
      <w:r>
        <w:rPr>
          <w:rFonts w:hint="eastAsia"/>
        </w:rPr>
        <w:t>5</w:t>
      </w:r>
      <w:r>
        <w:rPr>
          <w:rFonts w:hint="eastAsia"/>
        </w:rPr>
        <w:t>个方面进行评分，总分</w:t>
      </w:r>
      <w:r>
        <w:rPr>
          <w:rFonts w:hint="eastAsia"/>
        </w:rPr>
        <w:t>100</w:t>
      </w:r>
      <w:r>
        <w:rPr>
          <w:rFonts w:hint="eastAsia"/>
        </w:rPr>
        <w:t>分。不符合竞赛要求，或者在参赛过程中有违规行为，不遵守竞赛秩序和纪律的参赛队，将取消参赛资格。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理论方案（</w:t>
      </w:r>
      <w:r>
        <w:rPr>
          <w:rFonts w:hint="eastAsia"/>
        </w:rPr>
        <w:t>5</w:t>
      </w:r>
      <w:r>
        <w:rPr>
          <w:rFonts w:hint="eastAsia"/>
        </w:rPr>
        <w:t>分）：根据方案设计与理论分析的完整性、合理性、创新性评分。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结构体系（</w:t>
      </w:r>
      <w:r>
        <w:rPr>
          <w:rFonts w:hint="eastAsia"/>
        </w:rPr>
        <w:t>5</w:t>
      </w:r>
      <w:r>
        <w:rPr>
          <w:rFonts w:hint="eastAsia"/>
        </w:rPr>
        <w:t>分）：根据结构体系和造型的合理性、创新性评分。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模型制作（</w:t>
      </w:r>
      <w:r>
        <w:rPr>
          <w:rFonts w:hint="eastAsia"/>
        </w:rPr>
        <w:t>5</w:t>
      </w:r>
      <w:r>
        <w:rPr>
          <w:rFonts w:hint="eastAsia"/>
        </w:rPr>
        <w:t>分）：根据模型制作的外观质量和制作精细等评分。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</w:rPr>
        <w:t>陈述与答辩（</w:t>
      </w:r>
      <w:r>
        <w:rPr>
          <w:rFonts w:hint="eastAsia"/>
        </w:rPr>
        <w:t>5</w:t>
      </w:r>
      <w:r>
        <w:rPr>
          <w:rFonts w:hint="eastAsia"/>
        </w:rPr>
        <w:t>分）：根据现场陈述和回答情况评分。</w:t>
      </w:r>
    </w:p>
    <w:p w:rsidR="00472ED7" w:rsidRDefault="00472ED7" w:rsidP="00472ED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1770" cy="3124835"/>
            <wp:effectExtent l="1905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12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5E5" w:rsidRDefault="00DC55E5"/>
    <w:sectPr w:rsidR="00DC55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2ED7"/>
    <w:rsid w:val="00275D3E"/>
    <w:rsid w:val="003634D6"/>
    <w:rsid w:val="00472ED7"/>
    <w:rsid w:val="0049597A"/>
    <w:rsid w:val="005255E0"/>
    <w:rsid w:val="00A81B1C"/>
    <w:rsid w:val="00AF00FE"/>
    <w:rsid w:val="00DC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2E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ED7"/>
    <w:rPr>
      <w:sz w:val="18"/>
      <w:szCs w:val="18"/>
    </w:rPr>
  </w:style>
  <w:style w:type="paragraph" w:styleId="a4">
    <w:name w:val="Document Map"/>
    <w:basedOn w:val="a"/>
    <w:link w:val="Char0"/>
    <w:uiPriority w:val="99"/>
    <w:semiHidden/>
    <w:unhideWhenUsed/>
    <w:rsid w:val="00472ED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472ED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</Words>
  <Characters>1227</Characters>
  <Application>Microsoft Office Word</Application>
  <DocSecurity>0</DocSecurity>
  <Lines>10</Lines>
  <Paragraphs>2</Paragraphs>
  <ScaleCrop>false</ScaleCrop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vincent</cp:lastModifiedBy>
  <cp:revision>1</cp:revision>
  <dcterms:created xsi:type="dcterms:W3CDTF">2018-03-06T06:44:00Z</dcterms:created>
  <dcterms:modified xsi:type="dcterms:W3CDTF">2018-03-06T06:46:00Z</dcterms:modified>
</cp:coreProperties>
</file>