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9CB" w:rsidRDefault="000859CB">
      <w:pPr>
        <w:jc w:val="center"/>
        <w:rPr>
          <w:rFonts w:ascii="仿宋_GB2312" w:eastAsia="仿宋_GB2312"/>
          <w:sz w:val="32"/>
          <w:szCs w:val="32"/>
        </w:rPr>
      </w:pPr>
    </w:p>
    <w:p w:rsidR="000859CB" w:rsidRDefault="000859CB">
      <w:pPr>
        <w:jc w:val="center"/>
        <w:rPr>
          <w:rFonts w:ascii="仿宋_GB2312" w:eastAsia="仿宋_GB2312"/>
          <w:sz w:val="32"/>
          <w:szCs w:val="32"/>
        </w:rPr>
      </w:pPr>
    </w:p>
    <w:p w:rsidR="000859CB" w:rsidRDefault="000859CB">
      <w:pPr>
        <w:jc w:val="center"/>
        <w:rPr>
          <w:rFonts w:ascii="仿宋_GB2312" w:eastAsia="仿宋_GB2312"/>
          <w:sz w:val="32"/>
          <w:szCs w:val="32"/>
        </w:rPr>
      </w:pPr>
    </w:p>
    <w:p w:rsidR="000859CB" w:rsidRDefault="000859CB">
      <w:pPr>
        <w:jc w:val="center"/>
        <w:rPr>
          <w:rFonts w:ascii="仿宋_GB2312" w:eastAsia="仿宋_GB2312"/>
          <w:sz w:val="32"/>
          <w:szCs w:val="32"/>
        </w:rPr>
      </w:pPr>
    </w:p>
    <w:p w:rsidR="000859CB" w:rsidRDefault="000859CB">
      <w:pPr>
        <w:jc w:val="center"/>
        <w:rPr>
          <w:rFonts w:ascii="仿宋_GB2312" w:eastAsia="仿宋_GB2312"/>
          <w:sz w:val="32"/>
          <w:szCs w:val="32"/>
        </w:rPr>
      </w:pPr>
    </w:p>
    <w:p w:rsidR="000859CB" w:rsidRDefault="000859CB">
      <w:pPr>
        <w:jc w:val="center"/>
        <w:rPr>
          <w:rFonts w:ascii="仿宋_GB2312" w:eastAsia="仿宋_GB2312"/>
          <w:sz w:val="32"/>
          <w:szCs w:val="32"/>
        </w:rPr>
      </w:pPr>
    </w:p>
    <w:p w:rsidR="000859CB" w:rsidRDefault="000859CB">
      <w:pPr>
        <w:jc w:val="center"/>
        <w:rPr>
          <w:rFonts w:ascii="仿宋_GB2312" w:eastAsia="仿宋_GB2312"/>
          <w:sz w:val="32"/>
          <w:szCs w:val="32"/>
        </w:rPr>
      </w:pPr>
    </w:p>
    <w:p w:rsidR="000859CB" w:rsidRDefault="000859CB">
      <w:pPr>
        <w:spacing w:line="380" w:lineRule="exact"/>
        <w:jc w:val="center"/>
        <w:rPr>
          <w:rFonts w:ascii="仿宋_GB2312" w:eastAsia="仿宋_GB2312" w:hAnsi="宋体"/>
          <w:sz w:val="32"/>
          <w:szCs w:val="32"/>
        </w:rPr>
      </w:pPr>
      <w:r>
        <w:rPr>
          <w:rFonts w:ascii="仿宋_GB2312" w:eastAsia="仿宋_GB2312" w:hAnsi="宋体" w:hint="eastAsia"/>
          <w:sz w:val="32"/>
          <w:szCs w:val="32"/>
        </w:rPr>
        <w:t>绍学院元培</w:t>
      </w:r>
      <w:r>
        <w:rPr>
          <w:rFonts w:ascii="仿宋_GB2312" w:hAnsi="宋体" w:hint="eastAsia"/>
          <w:sz w:val="32"/>
          <w:szCs w:val="32"/>
        </w:rPr>
        <w:t>﹝</w:t>
      </w:r>
      <w:r>
        <w:rPr>
          <w:rFonts w:ascii="仿宋_GB2312" w:eastAsia="仿宋_GB2312" w:hAnsi="宋体"/>
          <w:sz w:val="32"/>
          <w:szCs w:val="32"/>
        </w:rPr>
        <w:t>2017</w:t>
      </w:r>
      <w:r>
        <w:rPr>
          <w:rFonts w:ascii="仿宋_GB2312" w:hAnsi="宋体" w:hint="eastAsia"/>
          <w:sz w:val="32"/>
          <w:szCs w:val="32"/>
        </w:rPr>
        <w:t>﹞</w:t>
      </w:r>
      <w:r>
        <w:rPr>
          <w:rFonts w:ascii="仿宋_GB2312" w:hAnsi="宋体"/>
          <w:sz w:val="32"/>
          <w:szCs w:val="32"/>
        </w:rPr>
        <w:t>113</w:t>
      </w:r>
      <w:r>
        <w:rPr>
          <w:rFonts w:ascii="仿宋_GB2312" w:eastAsia="仿宋_GB2312" w:hAnsi="宋体" w:hint="eastAsia"/>
          <w:sz w:val="32"/>
          <w:szCs w:val="32"/>
        </w:rPr>
        <w:t>号</w:t>
      </w:r>
    </w:p>
    <w:p w:rsidR="000859CB" w:rsidRDefault="000859CB">
      <w:pPr>
        <w:spacing w:line="380" w:lineRule="exact"/>
        <w:jc w:val="center"/>
        <w:rPr>
          <w:b/>
          <w:sz w:val="36"/>
          <w:szCs w:val="36"/>
        </w:rPr>
      </w:pPr>
    </w:p>
    <w:p w:rsidR="000859CB" w:rsidRDefault="000859CB">
      <w:pPr>
        <w:spacing w:line="440" w:lineRule="exact"/>
        <w:jc w:val="center"/>
        <w:rPr>
          <w:b/>
          <w:sz w:val="36"/>
          <w:szCs w:val="36"/>
        </w:rPr>
      </w:pPr>
    </w:p>
    <w:p w:rsidR="000859CB" w:rsidRDefault="000859CB">
      <w:pPr>
        <w:jc w:val="center"/>
        <w:rPr>
          <w:rFonts w:ascii="宋体"/>
          <w:b/>
          <w:bCs/>
          <w:sz w:val="44"/>
          <w:szCs w:val="44"/>
        </w:rPr>
      </w:pPr>
      <w:r>
        <w:rPr>
          <w:rFonts w:ascii="宋体" w:hAnsi="宋体" w:hint="eastAsia"/>
          <w:b/>
          <w:bCs/>
          <w:sz w:val="44"/>
          <w:szCs w:val="44"/>
        </w:rPr>
        <w:t>绍兴文理学院元培学院关于公布《绍兴文理学院元培学院学生学籍管理规定》的通知</w:t>
      </w:r>
    </w:p>
    <w:p w:rsidR="000859CB" w:rsidRDefault="000859CB">
      <w:pPr>
        <w:rPr>
          <w:rFonts w:ascii="仿宋_GB2312" w:eastAsia="仿宋_GB2312"/>
          <w:sz w:val="30"/>
          <w:szCs w:val="30"/>
        </w:rPr>
      </w:pPr>
    </w:p>
    <w:p w:rsidR="000859CB" w:rsidRDefault="000859CB">
      <w:pPr>
        <w:spacing w:line="500" w:lineRule="exact"/>
        <w:rPr>
          <w:rFonts w:ascii="仿宋_GB2312" w:eastAsia="仿宋_GB2312" w:hAnsi="宋体" w:cs="宋体"/>
          <w:kern w:val="0"/>
          <w:sz w:val="32"/>
          <w:szCs w:val="32"/>
        </w:rPr>
      </w:pPr>
      <w:r>
        <w:rPr>
          <w:rFonts w:ascii="仿宋_GB2312" w:eastAsia="仿宋_GB2312" w:hAnsi="宋体" w:cs="宋体" w:hint="eastAsia"/>
          <w:kern w:val="0"/>
          <w:sz w:val="32"/>
          <w:szCs w:val="32"/>
        </w:rPr>
        <w:t>各分院、职能部门：</w:t>
      </w:r>
    </w:p>
    <w:p w:rsidR="000859CB" w:rsidRDefault="000859CB">
      <w:pPr>
        <w:adjustRightInd w:val="0"/>
        <w:snapToGrid w:val="0"/>
        <w:spacing w:line="440" w:lineRule="exact"/>
        <w:rPr>
          <w:rFonts w:ascii="仿宋_GB2312" w:eastAsia="仿宋_GB2312" w:hAnsi="宋体" w:cs="宋体"/>
          <w:kern w:val="0"/>
          <w:sz w:val="32"/>
          <w:szCs w:val="32"/>
        </w:rPr>
      </w:pPr>
      <w:r>
        <w:rPr>
          <w:rFonts w:ascii="仿宋_GB2312" w:eastAsia="仿宋_GB2312" w:hAnsi="宋体" w:cs="宋体"/>
          <w:kern w:val="0"/>
          <w:sz w:val="32"/>
          <w:szCs w:val="32"/>
        </w:rPr>
        <w:t xml:space="preserve">    </w:t>
      </w:r>
      <w:r>
        <w:rPr>
          <w:rFonts w:ascii="仿宋_GB2312" w:eastAsia="仿宋_GB2312" w:hAnsi="宋体" w:cs="宋体" w:hint="eastAsia"/>
          <w:kern w:val="0"/>
          <w:sz w:val="32"/>
          <w:szCs w:val="32"/>
        </w:rPr>
        <w:t>现将《绍兴文理学院元培学院学生学籍管理规定》印发如下，请遵照执行。</w:t>
      </w:r>
    </w:p>
    <w:p w:rsidR="000859CB" w:rsidRDefault="000859CB">
      <w:pPr>
        <w:spacing w:line="500" w:lineRule="exact"/>
        <w:ind w:firstLine="475"/>
        <w:rPr>
          <w:rFonts w:ascii="仿宋_GB2312" w:eastAsia="仿宋_GB2312" w:hAnsi="宋体" w:cs="宋体"/>
          <w:kern w:val="0"/>
          <w:sz w:val="32"/>
          <w:szCs w:val="32"/>
        </w:rPr>
      </w:pPr>
    </w:p>
    <w:p w:rsidR="000859CB" w:rsidRDefault="000859CB">
      <w:pPr>
        <w:spacing w:line="500" w:lineRule="exact"/>
        <w:ind w:firstLine="475"/>
        <w:rPr>
          <w:rFonts w:ascii="仿宋_GB2312" w:eastAsia="仿宋_GB2312" w:hAnsi="宋体" w:cs="宋体"/>
          <w:kern w:val="0"/>
          <w:sz w:val="32"/>
          <w:szCs w:val="32"/>
        </w:rPr>
      </w:pPr>
    </w:p>
    <w:p w:rsidR="000859CB" w:rsidRDefault="000859CB">
      <w:pPr>
        <w:spacing w:line="500" w:lineRule="exact"/>
        <w:ind w:firstLine="475"/>
        <w:rPr>
          <w:rFonts w:ascii="仿宋_GB2312" w:eastAsia="仿宋_GB2312" w:hAnsi="宋体" w:cs="宋体"/>
          <w:kern w:val="0"/>
          <w:sz w:val="32"/>
          <w:szCs w:val="32"/>
        </w:rPr>
      </w:pPr>
      <w:r>
        <w:rPr>
          <w:rFonts w:ascii="仿宋_GB2312" w:eastAsia="仿宋_GB2312" w:hAnsi="宋体" w:cs="宋体"/>
          <w:kern w:val="0"/>
          <w:sz w:val="32"/>
          <w:szCs w:val="32"/>
        </w:rPr>
        <w:t xml:space="preserve">                              </w:t>
      </w:r>
      <w:r>
        <w:rPr>
          <w:rFonts w:ascii="仿宋_GB2312" w:eastAsia="仿宋_GB2312" w:hAnsi="宋体" w:cs="宋体" w:hint="eastAsia"/>
          <w:kern w:val="0"/>
          <w:sz w:val="32"/>
          <w:szCs w:val="32"/>
        </w:rPr>
        <w:t>绍兴文理学院元培学院</w:t>
      </w:r>
    </w:p>
    <w:p w:rsidR="000859CB" w:rsidRDefault="000859CB">
      <w:pPr>
        <w:spacing w:line="500" w:lineRule="exact"/>
        <w:ind w:firstLine="475"/>
        <w:rPr>
          <w:rFonts w:ascii="仿宋_GB2312" w:eastAsia="仿宋_GB2312" w:hAnsi="宋体" w:cs="宋体"/>
          <w:kern w:val="0"/>
          <w:sz w:val="32"/>
          <w:szCs w:val="32"/>
        </w:rPr>
      </w:pPr>
      <w:r>
        <w:rPr>
          <w:rFonts w:ascii="仿宋_GB2312" w:eastAsia="仿宋_GB2312" w:hAnsi="宋体" w:cs="宋体"/>
          <w:kern w:val="0"/>
          <w:sz w:val="32"/>
          <w:szCs w:val="32"/>
        </w:rPr>
        <w:t xml:space="preserve">                                 </w:t>
      </w:r>
      <w:smartTag w:uri="urn:schemas-microsoft-com:office:smarttags" w:element="chsdate">
        <w:smartTagPr>
          <w:attr w:name="IsROCDate" w:val="False"/>
          <w:attr w:name="IsLunarDate" w:val="False"/>
          <w:attr w:name="Day" w:val="23"/>
          <w:attr w:name="Month" w:val="8"/>
          <w:attr w:name="Year" w:val="2017"/>
        </w:smartTagPr>
        <w:r>
          <w:rPr>
            <w:rFonts w:ascii="仿宋_GB2312" w:eastAsia="仿宋_GB2312" w:hAnsi="宋体" w:cs="宋体"/>
            <w:kern w:val="0"/>
            <w:sz w:val="32"/>
            <w:szCs w:val="32"/>
          </w:rPr>
          <w:t>2017</w:t>
        </w:r>
        <w:r>
          <w:rPr>
            <w:rFonts w:ascii="仿宋_GB2312" w:eastAsia="仿宋_GB2312" w:hAnsi="宋体" w:cs="宋体" w:hint="eastAsia"/>
            <w:kern w:val="0"/>
            <w:sz w:val="32"/>
            <w:szCs w:val="32"/>
          </w:rPr>
          <w:t>年</w:t>
        </w:r>
        <w:r>
          <w:rPr>
            <w:rFonts w:ascii="仿宋_GB2312" w:eastAsia="仿宋_GB2312" w:hAnsi="宋体" w:cs="宋体"/>
            <w:kern w:val="0"/>
            <w:sz w:val="32"/>
            <w:szCs w:val="32"/>
          </w:rPr>
          <w:t>8</w:t>
        </w:r>
        <w:r>
          <w:rPr>
            <w:rFonts w:ascii="仿宋_GB2312" w:eastAsia="仿宋_GB2312" w:hAnsi="宋体" w:cs="宋体" w:hint="eastAsia"/>
            <w:kern w:val="0"/>
            <w:sz w:val="32"/>
            <w:szCs w:val="32"/>
          </w:rPr>
          <w:t>月</w:t>
        </w:r>
        <w:r>
          <w:rPr>
            <w:rFonts w:ascii="仿宋_GB2312" w:eastAsia="仿宋_GB2312" w:hAnsi="宋体" w:cs="宋体"/>
            <w:kern w:val="0"/>
            <w:sz w:val="32"/>
            <w:szCs w:val="32"/>
          </w:rPr>
          <w:t>23</w:t>
        </w:r>
        <w:r>
          <w:rPr>
            <w:rFonts w:ascii="仿宋_GB2312" w:eastAsia="仿宋_GB2312" w:hAnsi="宋体" w:cs="宋体" w:hint="eastAsia"/>
            <w:kern w:val="0"/>
            <w:sz w:val="32"/>
            <w:szCs w:val="32"/>
          </w:rPr>
          <w:t>日</w:t>
        </w:r>
      </w:smartTag>
    </w:p>
    <w:p w:rsidR="000859CB" w:rsidRDefault="000859CB">
      <w:pPr>
        <w:spacing w:line="500" w:lineRule="exact"/>
        <w:ind w:firstLine="475"/>
        <w:rPr>
          <w:rFonts w:ascii="仿宋_GB2312" w:eastAsia="仿宋_GB2312" w:hAnsi="宋体" w:cs="宋体"/>
          <w:kern w:val="0"/>
          <w:sz w:val="32"/>
          <w:szCs w:val="32"/>
        </w:rPr>
      </w:pPr>
    </w:p>
    <w:p w:rsidR="000859CB" w:rsidRDefault="000859CB">
      <w:pPr>
        <w:spacing w:line="500" w:lineRule="exact"/>
        <w:ind w:firstLine="475"/>
        <w:rPr>
          <w:rFonts w:ascii="仿宋_GB2312" w:eastAsia="仿宋_GB2312" w:hAnsi="宋体" w:cs="宋体"/>
          <w:kern w:val="0"/>
          <w:sz w:val="32"/>
          <w:szCs w:val="32"/>
        </w:rPr>
      </w:pPr>
    </w:p>
    <w:p w:rsidR="000859CB" w:rsidRDefault="000859CB">
      <w:pPr>
        <w:spacing w:line="500" w:lineRule="exact"/>
        <w:ind w:firstLine="475"/>
        <w:rPr>
          <w:rFonts w:ascii="仿宋_GB2312" w:eastAsia="仿宋_GB2312" w:hAnsi="宋体" w:cs="宋体"/>
          <w:kern w:val="0"/>
          <w:sz w:val="32"/>
          <w:szCs w:val="32"/>
        </w:rPr>
      </w:pPr>
    </w:p>
    <w:p w:rsidR="000859CB" w:rsidRDefault="000859CB">
      <w:pPr>
        <w:spacing w:line="500" w:lineRule="exact"/>
        <w:ind w:firstLine="475"/>
        <w:rPr>
          <w:rFonts w:ascii="仿宋_GB2312" w:eastAsia="仿宋_GB2312" w:hAnsi="宋体" w:cs="宋体"/>
          <w:kern w:val="0"/>
          <w:sz w:val="32"/>
          <w:szCs w:val="32"/>
        </w:rPr>
      </w:pPr>
    </w:p>
    <w:p w:rsidR="000859CB" w:rsidRDefault="000859CB">
      <w:pPr>
        <w:spacing w:line="500" w:lineRule="exact"/>
        <w:ind w:firstLine="475"/>
        <w:rPr>
          <w:rFonts w:ascii="仿宋_GB2312" w:eastAsia="仿宋_GB2312" w:hAnsi="宋体" w:cs="宋体"/>
          <w:kern w:val="0"/>
          <w:sz w:val="32"/>
          <w:szCs w:val="32"/>
        </w:rPr>
      </w:pPr>
    </w:p>
    <w:p w:rsidR="000859CB" w:rsidRDefault="000859CB">
      <w:pPr>
        <w:adjustRightInd w:val="0"/>
        <w:snapToGrid w:val="0"/>
        <w:spacing w:line="440" w:lineRule="exact"/>
        <w:jc w:val="center"/>
        <w:rPr>
          <w:rFonts w:ascii="Times New Roman" w:hAnsi="Times New Roman"/>
          <w:b/>
          <w:sz w:val="36"/>
          <w:szCs w:val="36"/>
        </w:rPr>
      </w:pPr>
    </w:p>
    <w:p w:rsidR="000859CB" w:rsidRPr="008223B3" w:rsidRDefault="000859CB">
      <w:pPr>
        <w:adjustRightInd w:val="0"/>
        <w:snapToGrid w:val="0"/>
        <w:spacing w:line="440" w:lineRule="exact"/>
        <w:jc w:val="center"/>
        <w:rPr>
          <w:rFonts w:ascii="仿宋_GB2312" w:eastAsia="仿宋_GB2312" w:hAnsi="Times New Roman"/>
          <w:b/>
          <w:sz w:val="32"/>
          <w:szCs w:val="32"/>
        </w:rPr>
      </w:pPr>
      <w:r w:rsidRPr="008223B3">
        <w:rPr>
          <w:rFonts w:ascii="仿宋_GB2312" w:eastAsia="仿宋_GB2312" w:hAnsi="Times New Roman" w:hint="eastAsia"/>
          <w:b/>
          <w:sz w:val="32"/>
          <w:szCs w:val="32"/>
        </w:rPr>
        <w:t>绍兴文理学院元培学院学生学籍管理规定</w:t>
      </w:r>
    </w:p>
    <w:p w:rsidR="000859CB" w:rsidRDefault="000859CB">
      <w:pPr>
        <w:widowControl/>
        <w:shd w:val="clear" w:color="auto" w:fill="FFFFFF"/>
        <w:snapToGrid w:val="0"/>
        <w:spacing w:line="440" w:lineRule="exact"/>
        <w:jc w:val="center"/>
        <w:rPr>
          <w:rFonts w:ascii="Times New Roman" w:hAnsi="Times New Roman"/>
          <w:color w:val="000000"/>
          <w:kern w:val="0"/>
          <w:sz w:val="24"/>
        </w:rPr>
      </w:pPr>
    </w:p>
    <w:p w:rsidR="000859CB" w:rsidRPr="00692E1F" w:rsidRDefault="000859CB">
      <w:pPr>
        <w:adjustRightInd w:val="0"/>
        <w:snapToGrid w:val="0"/>
        <w:spacing w:line="440" w:lineRule="exact"/>
        <w:jc w:val="center"/>
        <w:rPr>
          <w:rFonts w:ascii="仿宋_GB2312" w:eastAsia="仿宋_GB2312" w:hAnsi="Times New Roman"/>
          <w:b/>
          <w:sz w:val="32"/>
          <w:szCs w:val="32"/>
          <w:shd w:val="clear" w:color="auto" w:fill="FFFFFF"/>
        </w:rPr>
      </w:pPr>
      <w:r w:rsidRPr="00692E1F">
        <w:rPr>
          <w:rFonts w:ascii="仿宋_GB2312" w:eastAsia="仿宋_GB2312" w:hAnsi="Times New Roman" w:hint="eastAsia"/>
          <w:b/>
          <w:sz w:val="32"/>
          <w:szCs w:val="32"/>
          <w:shd w:val="clear" w:color="auto" w:fill="FFFFFF"/>
        </w:rPr>
        <w:t>第一章总则</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第一条　为了全面贯彻党的教育方针，维护学院正常的教育教学秩序，保障学生的合法权益，促进学生的全面发展，依据教育部《普通高等学校学生管理规定》（教育部令第</w:t>
      </w:r>
      <w:r w:rsidRPr="00692E1F">
        <w:rPr>
          <w:rFonts w:ascii="仿宋_GB2312" w:eastAsia="仿宋_GB2312" w:hAnsi="宋体" w:cs="宋体"/>
          <w:kern w:val="0"/>
          <w:sz w:val="32"/>
          <w:szCs w:val="32"/>
        </w:rPr>
        <w:t>41</w:t>
      </w:r>
      <w:r w:rsidRPr="00692E1F">
        <w:rPr>
          <w:rFonts w:ascii="仿宋_GB2312" w:eastAsia="仿宋_GB2312" w:hAnsi="宋体" w:cs="宋体" w:hint="eastAsia"/>
          <w:kern w:val="0"/>
          <w:sz w:val="32"/>
          <w:szCs w:val="32"/>
        </w:rPr>
        <w:t>号），结合学院实际，制定本规定。</w:t>
      </w:r>
    </w:p>
    <w:p w:rsidR="000859CB" w:rsidRDefault="000859CB">
      <w:pPr>
        <w:adjustRightInd w:val="0"/>
        <w:snapToGrid w:val="0"/>
        <w:spacing w:line="440" w:lineRule="exact"/>
        <w:rPr>
          <w:rFonts w:ascii="Times New Roman" w:hAnsi="Times New Roman"/>
          <w:sz w:val="24"/>
          <w:shd w:val="clear" w:color="auto" w:fill="FFFFFF"/>
        </w:rPr>
      </w:pPr>
    </w:p>
    <w:p w:rsidR="000859CB" w:rsidRPr="00692E1F" w:rsidRDefault="000859CB">
      <w:pPr>
        <w:adjustRightInd w:val="0"/>
        <w:snapToGrid w:val="0"/>
        <w:spacing w:line="440" w:lineRule="exact"/>
        <w:jc w:val="center"/>
        <w:rPr>
          <w:rFonts w:ascii="仿宋_GB2312" w:eastAsia="仿宋_GB2312" w:hAnsi="Times New Roman"/>
          <w:b/>
          <w:sz w:val="32"/>
          <w:szCs w:val="32"/>
          <w:shd w:val="clear" w:color="auto" w:fill="FFFFFF"/>
        </w:rPr>
      </w:pPr>
      <w:r w:rsidRPr="00692E1F">
        <w:rPr>
          <w:rFonts w:ascii="仿宋_GB2312" w:eastAsia="仿宋_GB2312" w:hAnsi="Times New Roman" w:hint="eastAsia"/>
          <w:b/>
          <w:sz w:val="32"/>
          <w:szCs w:val="32"/>
          <w:shd w:val="clear" w:color="auto" w:fill="FFFFFF"/>
        </w:rPr>
        <w:t>第二章</w:t>
      </w:r>
      <w:r w:rsidRPr="00692E1F">
        <w:rPr>
          <w:rFonts w:ascii="仿宋_GB2312" w:eastAsia="仿宋_GB2312" w:hAnsi="Times New Roman"/>
          <w:b/>
          <w:sz w:val="32"/>
          <w:szCs w:val="32"/>
          <w:shd w:val="clear" w:color="auto" w:fill="FFFFFF"/>
        </w:rPr>
        <w:t xml:space="preserve"> </w:t>
      </w:r>
      <w:r w:rsidRPr="00692E1F">
        <w:rPr>
          <w:rFonts w:ascii="仿宋_GB2312" w:eastAsia="仿宋_GB2312" w:hAnsi="Times New Roman"/>
          <w:b/>
          <w:sz w:val="32"/>
          <w:szCs w:val="32"/>
          <w:shd w:val="clear" w:color="auto" w:fill="FFFFFF"/>
        </w:rPr>
        <w:t> </w:t>
      </w:r>
      <w:r w:rsidRPr="00692E1F">
        <w:rPr>
          <w:rFonts w:ascii="仿宋_GB2312" w:eastAsia="仿宋_GB2312" w:hAnsi="Times New Roman" w:hint="eastAsia"/>
          <w:b/>
          <w:sz w:val="32"/>
          <w:szCs w:val="32"/>
          <w:shd w:val="clear" w:color="auto" w:fill="FFFFFF"/>
        </w:rPr>
        <w:t>入学与注册</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第二条　按国家招生规定录取的新生，持录取通知书，按学院有关要求在规定的期限内到校办理入学手续。因故不能按期入学者，必须在报到日前向学院书面请假。假期不得超过</w:t>
      </w: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周。未请假或者请假逾期者，除因不可抗力等正当事由以外，视为放弃入学资格。</w:t>
      </w:r>
    </w:p>
    <w:p w:rsidR="000859CB" w:rsidRPr="00104D66" w:rsidRDefault="000859CB" w:rsidP="008849D0">
      <w:pPr>
        <w:adjustRightInd w:val="0"/>
        <w:snapToGrid w:val="0"/>
        <w:spacing w:line="440" w:lineRule="exact"/>
        <w:ind w:firstLineChars="200" w:firstLine="31680"/>
        <w:rPr>
          <w:rFonts w:ascii="仿宋_GB2312" w:eastAsia="仿宋_GB2312" w:hAnsi="宋体" w:cs="宋体"/>
          <w:color w:val="000000"/>
          <w:kern w:val="0"/>
          <w:sz w:val="32"/>
          <w:szCs w:val="32"/>
        </w:rPr>
      </w:pPr>
      <w:r w:rsidRPr="00692E1F">
        <w:rPr>
          <w:rFonts w:ascii="仿宋_GB2312" w:eastAsia="仿宋_GB2312" w:hAnsi="宋体" w:cs="宋体" w:hint="eastAsia"/>
          <w:kern w:val="0"/>
          <w:sz w:val="32"/>
          <w:szCs w:val="32"/>
        </w:rPr>
        <w:t>第三条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学院在报到时对新生入学资格进行初步审查，审查合格</w:t>
      </w:r>
      <w:r w:rsidRPr="00104D66">
        <w:rPr>
          <w:rFonts w:ascii="仿宋_GB2312" w:eastAsia="仿宋_GB2312" w:hAnsi="宋体" w:cs="宋体" w:hint="eastAsia"/>
          <w:color w:val="000000"/>
          <w:kern w:val="0"/>
          <w:sz w:val="32"/>
          <w:szCs w:val="32"/>
        </w:rPr>
        <w:t>的办理入学手续，予以注册学籍；审查发现新生的录取通知、考生信息等证明材料，与本人实际情况不符，或者有其他违反国家招生考试规定情形的，取消入学资格。</w:t>
      </w:r>
    </w:p>
    <w:p w:rsidR="000859CB" w:rsidRPr="00104D66" w:rsidRDefault="000859CB" w:rsidP="008849D0">
      <w:pPr>
        <w:adjustRightInd w:val="0"/>
        <w:snapToGrid w:val="0"/>
        <w:spacing w:line="440" w:lineRule="exact"/>
        <w:ind w:firstLineChars="200" w:firstLine="31680"/>
        <w:rPr>
          <w:rFonts w:ascii="仿宋_GB2312" w:eastAsia="仿宋_GB2312" w:hAnsi="宋体" w:cs="宋体"/>
          <w:color w:val="000000"/>
          <w:kern w:val="0"/>
          <w:sz w:val="32"/>
          <w:szCs w:val="32"/>
        </w:rPr>
      </w:pPr>
      <w:r w:rsidRPr="00104D66">
        <w:rPr>
          <w:rFonts w:ascii="仿宋_GB2312" w:eastAsia="仿宋_GB2312" w:hAnsi="宋体" w:cs="宋体" w:hint="eastAsia"/>
          <w:color w:val="000000"/>
          <w:kern w:val="0"/>
          <w:sz w:val="32"/>
          <w:szCs w:val="32"/>
        </w:rPr>
        <w:t>第四条</w:t>
      </w:r>
      <w:r>
        <w:rPr>
          <w:rFonts w:ascii="仿宋_GB2312" w:eastAsia="仿宋_GB2312" w:hAnsi="宋体" w:cs="宋体"/>
          <w:color w:val="000000"/>
          <w:kern w:val="0"/>
          <w:sz w:val="32"/>
          <w:szCs w:val="32"/>
        </w:rPr>
        <w:t xml:space="preserve">  </w:t>
      </w:r>
      <w:r w:rsidRPr="00104D66">
        <w:rPr>
          <w:rFonts w:ascii="仿宋_GB2312" w:eastAsia="仿宋_GB2312" w:hAnsi="宋体" w:cs="宋体" w:hint="eastAsia"/>
          <w:color w:val="000000"/>
          <w:kern w:val="0"/>
          <w:sz w:val="32"/>
          <w:szCs w:val="32"/>
        </w:rPr>
        <w:t>新生可以申请保留入学资格，申请手续应在报到日起</w:t>
      </w:r>
      <w:r w:rsidRPr="00104D66">
        <w:rPr>
          <w:rFonts w:ascii="仿宋_GB2312" w:eastAsia="仿宋_GB2312" w:hAnsi="宋体" w:cs="宋体"/>
          <w:color w:val="000000"/>
          <w:kern w:val="0"/>
          <w:sz w:val="32"/>
          <w:szCs w:val="32"/>
        </w:rPr>
        <w:t>2</w:t>
      </w:r>
      <w:r w:rsidRPr="00104D66">
        <w:rPr>
          <w:rFonts w:ascii="仿宋_GB2312" w:eastAsia="仿宋_GB2312" w:hAnsi="宋体" w:cs="宋体" w:hint="eastAsia"/>
          <w:color w:val="000000"/>
          <w:kern w:val="0"/>
          <w:sz w:val="32"/>
          <w:szCs w:val="32"/>
        </w:rPr>
        <w:t>周内办理。</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保留入学资格期限一般为</w:t>
      </w: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年；新生应征参加中国人民解放军（含中国人民武装警察部队），学院依据相应证明材料为其保留入学资格至退役后</w:t>
      </w: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年。保留入学资格期间新生不具有学籍，不享受在校生待遇。</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新生保留入学资格期满前应向学院申请入学，经学院审查合格后，办理入学手续。审查不合格的，取消入学资格；逾期不办理入学手续且未有因不可抗力延迟等正当理由的，视为放弃入学资格。</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第五条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新生入学后，学院在</w:t>
      </w: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个月内按照国家招生规定对其进行复查。复查主要包括以下方面：</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录取手续及程序等是否合乎国家招生规定；</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所获得的录取资格是否真实、合乎相关规定；</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本人及身份证明与录取通知、考生档案等是否一致；</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4.</w:t>
      </w:r>
      <w:r w:rsidRPr="00692E1F">
        <w:rPr>
          <w:rFonts w:ascii="仿宋_GB2312" w:eastAsia="仿宋_GB2312" w:hAnsi="宋体" w:cs="宋体" w:hint="eastAsia"/>
          <w:kern w:val="0"/>
          <w:sz w:val="32"/>
          <w:szCs w:val="32"/>
        </w:rPr>
        <w:t>身心健康状况是否符合报考专业或者专业类别体检要求，能否保证在校正常学习、生活；</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5.</w:t>
      </w:r>
      <w:r w:rsidRPr="00692E1F">
        <w:rPr>
          <w:rFonts w:ascii="仿宋_GB2312" w:eastAsia="仿宋_GB2312" w:hAnsi="宋体" w:cs="宋体" w:hint="eastAsia"/>
          <w:kern w:val="0"/>
          <w:sz w:val="32"/>
          <w:szCs w:val="32"/>
        </w:rPr>
        <w:t>艺术、体育等特殊类型录取学生的专业水平是否符合录取要求。</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复查中发现学生存在弄虚作假、徇私舞弊等情形的，确定为复查不合格，取消其学籍；情节严重的，移交有关部门调查处理。</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复查中发现学生身心状况不适宜在校学习，经学院指定的二级甲等以上医院诊断，需要在家休养的，视具体情况保留其入学资格或保留其学籍。</w:t>
      </w:r>
      <w:r w:rsidRPr="00692E1F">
        <w:rPr>
          <w:rFonts w:ascii="仿宋_GB2312" w:eastAsia="仿宋_GB2312" w:hAnsi="宋体" w:cs="宋体"/>
          <w:kern w:val="0"/>
          <w:sz w:val="32"/>
          <w:szCs w:val="32"/>
        </w:rPr>
        <w:t xml:space="preserve">  </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第六条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每学期开学时，学生必须在学院规定的日期内到所在分院报到，按学院规定缴费后办理注册手续。因故不能如期注册者，应当申请办理暂缓注册手续。未按规定缴纳学费或者其他不符合注册条件的不予注册。</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家庭经济困难的学生，可以申请助学贷款或者其他形式资助，办理有关手续后注册。</w:t>
      </w:r>
    </w:p>
    <w:p w:rsidR="000859CB" w:rsidRDefault="000859CB">
      <w:pPr>
        <w:adjustRightInd w:val="0"/>
        <w:snapToGrid w:val="0"/>
        <w:spacing w:line="440" w:lineRule="exact"/>
        <w:rPr>
          <w:rFonts w:ascii="Times New Roman" w:hAnsi="Times New Roman"/>
          <w:sz w:val="24"/>
          <w:shd w:val="clear" w:color="auto" w:fill="FFFFFF"/>
        </w:rPr>
      </w:pPr>
    </w:p>
    <w:p w:rsidR="000859CB" w:rsidRPr="00692E1F" w:rsidRDefault="000859CB">
      <w:pPr>
        <w:adjustRightInd w:val="0"/>
        <w:snapToGrid w:val="0"/>
        <w:spacing w:line="440" w:lineRule="exact"/>
        <w:jc w:val="center"/>
        <w:rPr>
          <w:rFonts w:ascii="仿宋_GB2312" w:eastAsia="仿宋_GB2312" w:hAnsi="Times New Roman"/>
          <w:b/>
          <w:sz w:val="32"/>
          <w:szCs w:val="32"/>
          <w:shd w:val="clear" w:color="auto" w:fill="FFFFFF"/>
        </w:rPr>
      </w:pPr>
      <w:r w:rsidRPr="00692E1F">
        <w:rPr>
          <w:rFonts w:ascii="仿宋_GB2312" w:eastAsia="仿宋_GB2312" w:hAnsi="Times New Roman" w:hint="eastAsia"/>
          <w:b/>
          <w:sz w:val="32"/>
          <w:szCs w:val="32"/>
          <w:shd w:val="clear" w:color="auto" w:fill="FFFFFF"/>
        </w:rPr>
        <w:t>第三章学制与学习年限</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第七条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普通本科专业基本学制为</w:t>
      </w:r>
      <w:r w:rsidRPr="00692E1F">
        <w:rPr>
          <w:rFonts w:ascii="仿宋_GB2312" w:eastAsia="仿宋_GB2312" w:hAnsi="宋体" w:cs="宋体"/>
          <w:kern w:val="0"/>
          <w:sz w:val="32"/>
          <w:szCs w:val="32"/>
        </w:rPr>
        <w:t>4</w:t>
      </w:r>
      <w:r w:rsidRPr="00692E1F">
        <w:rPr>
          <w:rFonts w:ascii="仿宋_GB2312" w:eastAsia="仿宋_GB2312" w:hAnsi="宋体" w:cs="宋体" w:hint="eastAsia"/>
          <w:kern w:val="0"/>
          <w:sz w:val="32"/>
          <w:szCs w:val="32"/>
        </w:rPr>
        <w:t>年，专升本专业基本学制为</w:t>
      </w: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年。</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第八条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学生可以累积学分形式分阶段完成学业。普通本科专业学生学习年限为</w:t>
      </w: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至</w:t>
      </w:r>
      <w:r w:rsidRPr="00692E1F">
        <w:rPr>
          <w:rFonts w:ascii="仿宋_GB2312" w:eastAsia="仿宋_GB2312" w:hAnsi="宋体" w:cs="宋体"/>
          <w:kern w:val="0"/>
          <w:sz w:val="32"/>
          <w:szCs w:val="32"/>
        </w:rPr>
        <w:t>8</w:t>
      </w:r>
      <w:r w:rsidRPr="00692E1F">
        <w:rPr>
          <w:rFonts w:ascii="仿宋_GB2312" w:eastAsia="仿宋_GB2312" w:hAnsi="宋体" w:cs="宋体" w:hint="eastAsia"/>
          <w:kern w:val="0"/>
          <w:sz w:val="32"/>
          <w:szCs w:val="32"/>
        </w:rPr>
        <w:t>年；专升本专业学生学习年限为</w:t>
      </w: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至</w:t>
      </w:r>
      <w:r w:rsidRPr="00692E1F">
        <w:rPr>
          <w:rFonts w:ascii="仿宋_GB2312" w:eastAsia="仿宋_GB2312" w:hAnsi="宋体" w:cs="宋体"/>
          <w:kern w:val="0"/>
          <w:sz w:val="32"/>
          <w:szCs w:val="32"/>
        </w:rPr>
        <w:t>4</w:t>
      </w:r>
      <w:r w:rsidRPr="00692E1F">
        <w:rPr>
          <w:rFonts w:ascii="仿宋_GB2312" w:eastAsia="仿宋_GB2312" w:hAnsi="宋体" w:cs="宋体" w:hint="eastAsia"/>
          <w:kern w:val="0"/>
          <w:sz w:val="32"/>
          <w:szCs w:val="32"/>
        </w:rPr>
        <w:t>年。除另有规定外，学生应在最长学习年限（含休学和保留学籍）内完成学业。</w:t>
      </w:r>
    </w:p>
    <w:p w:rsidR="000859CB" w:rsidRDefault="000859CB">
      <w:pPr>
        <w:adjustRightInd w:val="0"/>
        <w:snapToGrid w:val="0"/>
        <w:spacing w:line="440" w:lineRule="exact"/>
        <w:rPr>
          <w:rFonts w:ascii="Times New Roman" w:hAnsi="Times New Roman"/>
          <w:sz w:val="24"/>
          <w:shd w:val="clear" w:color="auto" w:fill="FFFFFF"/>
        </w:rPr>
      </w:pPr>
    </w:p>
    <w:p w:rsidR="000859CB" w:rsidRPr="00692E1F" w:rsidRDefault="000859CB">
      <w:pPr>
        <w:adjustRightInd w:val="0"/>
        <w:snapToGrid w:val="0"/>
        <w:spacing w:line="440" w:lineRule="exact"/>
        <w:jc w:val="center"/>
        <w:rPr>
          <w:rFonts w:ascii="仿宋_GB2312" w:eastAsia="仿宋_GB2312" w:hAnsi="Times New Roman"/>
          <w:b/>
          <w:sz w:val="32"/>
          <w:szCs w:val="32"/>
          <w:shd w:val="clear" w:color="auto" w:fill="FFFFFF"/>
        </w:rPr>
      </w:pPr>
      <w:r w:rsidRPr="00692E1F">
        <w:rPr>
          <w:rFonts w:ascii="仿宋_GB2312" w:eastAsia="仿宋_GB2312" w:hAnsi="Times New Roman" w:hint="eastAsia"/>
          <w:b/>
          <w:sz w:val="32"/>
          <w:szCs w:val="32"/>
          <w:shd w:val="clear" w:color="auto" w:fill="FFFFFF"/>
        </w:rPr>
        <w:t>第四章课程修读</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第九条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课程分为必修课、选修课；选修课分为限制性选修课、任意性选修课。学生应当按照注册专业的人才培养方案要求，修读各类课程和教育教学环节（以下统称课程）。</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第十条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专业类招生录取的学生可按学院有关规定填报专业志愿，选择专业，经所在分院同意并报学院批准后，进入相应专业学习。</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第十一条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学生在教师指导下，可根据本人实际情况，在不违背课程修读顺序的前提下，按照学院各学期的开课计划，自主修读相关课程；对于实行分层、分类教学的课程，可自主选择合适的课程层次。</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第十二条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为保证学习质量，学生每学期修读的课程学分数一般不少于</w:t>
      </w:r>
      <w:r w:rsidRPr="00692E1F">
        <w:rPr>
          <w:rFonts w:ascii="仿宋_GB2312" w:eastAsia="仿宋_GB2312" w:hAnsi="宋体" w:cs="宋体"/>
          <w:kern w:val="0"/>
          <w:sz w:val="32"/>
          <w:szCs w:val="32"/>
        </w:rPr>
        <w:t>15</w:t>
      </w:r>
      <w:r w:rsidRPr="00692E1F">
        <w:rPr>
          <w:rFonts w:ascii="仿宋_GB2312" w:eastAsia="仿宋_GB2312" w:hAnsi="宋体" w:cs="宋体" w:hint="eastAsia"/>
          <w:kern w:val="0"/>
          <w:sz w:val="32"/>
          <w:szCs w:val="32"/>
        </w:rPr>
        <w:t>学分，不超过</w:t>
      </w:r>
      <w:r w:rsidRPr="00692E1F">
        <w:rPr>
          <w:rFonts w:ascii="仿宋_GB2312" w:eastAsia="仿宋_GB2312" w:hAnsi="宋体" w:cs="宋体"/>
          <w:kern w:val="0"/>
          <w:sz w:val="32"/>
          <w:szCs w:val="32"/>
        </w:rPr>
        <w:t>30</w:t>
      </w:r>
      <w:r w:rsidRPr="00692E1F">
        <w:rPr>
          <w:rFonts w:ascii="仿宋_GB2312" w:eastAsia="仿宋_GB2312" w:hAnsi="宋体" w:cs="宋体" w:hint="eastAsia"/>
          <w:kern w:val="0"/>
          <w:sz w:val="32"/>
          <w:szCs w:val="32"/>
        </w:rPr>
        <w:t>学分。</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第十三条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学生必须在规定的时间内进行选课。未选课者，不得参加听课和考核。</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第十四条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学生应按规定参加所选课程的教学活动。课程教学实行考勤制。不能参加者应按照学院规定办理请假手续；未办理请假手续者，按照《绍兴文理学院元培学院学生违纪处分管理规定》给予批评教育或纪律处分。</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第十五条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课程重修指学生对已修读的课程因考核成绩不满意或成绩不及格进行再次修读。必修课、限制性选修课考核不及格的，必须重修。</w:t>
      </w:r>
    </w:p>
    <w:p w:rsidR="000859CB" w:rsidRPr="00692E1F" w:rsidRDefault="000859CB" w:rsidP="008849D0">
      <w:pPr>
        <w:tabs>
          <w:tab w:val="left" w:pos="0"/>
          <w:tab w:val="left" w:pos="420"/>
          <w:tab w:val="left" w:pos="859"/>
          <w:tab w:val="left" w:pos="1279"/>
          <w:tab w:val="left" w:pos="1699"/>
          <w:tab w:val="left" w:pos="2119"/>
          <w:tab w:val="left" w:pos="2559"/>
          <w:tab w:val="left" w:pos="2979"/>
          <w:tab w:val="left" w:pos="3399"/>
          <w:tab w:val="left" w:pos="3819"/>
          <w:tab w:val="left" w:pos="4260"/>
          <w:tab w:val="left" w:pos="4680"/>
          <w:tab w:val="left" w:pos="5100"/>
          <w:tab w:val="left" w:pos="5520"/>
          <w:tab w:val="left" w:pos="5959"/>
          <w:tab w:val="left" w:pos="6379"/>
          <w:tab w:val="left" w:pos="6799"/>
          <w:tab w:val="left" w:pos="7219"/>
          <w:tab w:val="left" w:pos="7659"/>
          <w:tab w:val="left" w:pos="8079"/>
          <w:tab w:val="left" w:pos="8499"/>
          <w:tab w:val="left" w:pos="8636"/>
          <w:tab w:val="left" w:pos="9360"/>
          <w:tab w:val="left" w:pos="9780"/>
          <w:tab w:val="left" w:pos="10200"/>
          <w:tab w:val="left" w:pos="10620"/>
          <w:tab w:val="left" w:pos="11059"/>
          <w:tab w:val="left" w:pos="11479"/>
          <w:tab w:val="left" w:pos="11899"/>
          <w:tab w:val="left" w:pos="12339"/>
          <w:tab w:val="left" w:pos="12759"/>
          <w:tab w:val="left" w:pos="13179"/>
          <w:tab w:val="left" w:pos="13599"/>
        </w:tabs>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第十六条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重修课程若与其他课程上课时间冲突，学生应在学院规定的时间提交重修课程的免听申请并附自学方案，经主讲教师同意，报开课分院批准、教务处备案，可以免听。免听课程每学期一般不超过</w:t>
      </w: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门。课程免听期间，学生执行自学方案，完成规定的作业，参加实验、上机等，应给予该课程的平时成绩。</w:t>
      </w:r>
    </w:p>
    <w:p w:rsidR="000859CB" w:rsidRPr="00692E1F" w:rsidRDefault="000859CB" w:rsidP="008849D0">
      <w:pPr>
        <w:tabs>
          <w:tab w:val="left" w:pos="0"/>
          <w:tab w:val="left" w:pos="420"/>
          <w:tab w:val="left" w:pos="859"/>
          <w:tab w:val="left" w:pos="1279"/>
          <w:tab w:val="left" w:pos="1699"/>
          <w:tab w:val="left" w:pos="2119"/>
          <w:tab w:val="left" w:pos="2559"/>
          <w:tab w:val="left" w:pos="2979"/>
          <w:tab w:val="left" w:pos="3399"/>
          <w:tab w:val="left" w:pos="3819"/>
          <w:tab w:val="left" w:pos="4260"/>
          <w:tab w:val="left" w:pos="4680"/>
          <w:tab w:val="left" w:pos="5100"/>
          <w:tab w:val="left" w:pos="5520"/>
          <w:tab w:val="left" w:pos="5959"/>
          <w:tab w:val="left" w:pos="6379"/>
          <w:tab w:val="left" w:pos="6799"/>
          <w:tab w:val="left" w:pos="7219"/>
          <w:tab w:val="left" w:pos="7659"/>
          <w:tab w:val="left" w:pos="8079"/>
          <w:tab w:val="left" w:pos="8499"/>
          <w:tab w:val="left" w:pos="8636"/>
          <w:tab w:val="left" w:pos="9360"/>
          <w:tab w:val="left" w:pos="9780"/>
          <w:tab w:val="left" w:pos="10200"/>
          <w:tab w:val="left" w:pos="10620"/>
          <w:tab w:val="left" w:pos="11059"/>
          <w:tab w:val="left" w:pos="11479"/>
          <w:tab w:val="left" w:pos="11899"/>
          <w:tab w:val="left" w:pos="12339"/>
          <w:tab w:val="left" w:pos="12759"/>
          <w:tab w:val="left" w:pos="13179"/>
          <w:tab w:val="left" w:pos="13599"/>
        </w:tabs>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第十七条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通过自学已掌握某门首次修读课程，可申请免修。学生应在学院规定的时间向开课分院提出课程免修申请，经开课分院审核同意并报教务处批准后，发给准考证。学生凭准考证参加该课程期末考核，考核成绩达到</w:t>
      </w:r>
      <w:r w:rsidRPr="00692E1F">
        <w:rPr>
          <w:rFonts w:ascii="仿宋_GB2312" w:eastAsia="仿宋_GB2312" w:hAnsi="宋体" w:cs="宋体"/>
          <w:kern w:val="0"/>
          <w:sz w:val="32"/>
          <w:szCs w:val="32"/>
        </w:rPr>
        <w:t>75</w:t>
      </w:r>
      <w:r w:rsidRPr="00692E1F">
        <w:rPr>
          <w:rFonts w:ascii="仿宋_GB2312" w:eastAsia="仿宋_GB2312" w:hAnsi="宋体" w:cs="宋体" w:hint="eastAsia"/>
          <w:kern w:val="0"/>
          <w:sz w:val="32"/>
          <w:szCs w:val="32"/>
        </w:rPr>
        <w:t>分（中）及以上则取得课程学分，否则该课程考核视为不及格。</w:t>
      </w:r>
    </w:p>
    <w:p w:rsidR="000859CB" w:rsidRPr="00692E1F" w:rsidRDefault="000859CB" w:rsidP="008849D0">
      <w:pPr>
        <w:tabs>
          <w:tab w:val="left" w:pos="0"/>
          <w:tab w:val="left" w:pos="420"/>
          <w:tab w:val="left" w:pos="859"/>
          <w:tab w:val="left" w:pos="1279"/>
          <w:tab w:val="left" w:pos="1699"/>
          <w:tab w:val="left" w:pos="2119"/>
          <w:tab w:val="left" w:pos="2559"/>
          <w:tab w:val="left" w:pos="2979"/>
          <w:tab w:val="left" w:pos="3399"/>
          <w:tab w:val="left" w:pos="3819"/>
          <w:tab w:val="left" w:pos="4260"/>
          <w:tab w:val="left" w:pos="4680"/>
          <w:tab w:val="left" w:pos="5100"/>
          <w:tab w:val="left" w:pos="5520"/>
          <w:tab w:val="left" w:pos="5959"/>
          <w:tab w:val="left" w:pos="6379"/>
          <w:tab w:val="left" w:pos="6799"/>
          <w:tab w:val="left" w:pos="7219"/>
          <w:tab w:val="left" w:pos="7659"/>
          <w:tab w:val="left" w:pos="8079"/>
          <w:tab w:val="left" w:pos="8499"/>
          <w:tab w:val="left" w:pos="8636"/>
          <w:tab w:val="left" w:pos="9360"/>
          <w:tab w:val="left" w:pos="9780"/>
          <w:tab w:val="left" w:pos="10200"/>
          <w:tab w:val="left" w:pos="10620"/>
          <w:tab w:val="left" w:pos="11059"/>
          <w:tab w:val="left" w:pos="11479"/>
          <w:tab w:val="left" w:pos="11899"/>
          <w:tab w:val="left" w:pos="12339"/>
          <w:tab w:val="left" w:pos="12759"/>
          <w:tab w:val="left" w:pos="13179"/>
          <w:tab w:val="left" w:pos="13599"/>
        </w:tabs>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思想政治理论课、体育课以及军事训练、实验、实习、见习等实践性课程不得免修。</w:t>
      </w:r>
    </w:p>
    <w:p w:rsidR="000859CB" w:rsidRPr="00692E1F" w:rsidRDefault="000859CB" w:rsidP="008849D0">
      <w:pPr>
        <w:tabs>
          <w:tab w:val="left" w:pos="0"/>
          <w:tab w:val="left" w:pos="420"/>
          <w:tab w:val="left" w:pos="859"/>
          <w:tab w:val="left" w:pos="1279"/>
          <w:tab w:val="left" w:pos="1699"/>
          <w:tab w:val="left" w:pos="2119"/>
          <w:tab w:val="left" w:pos="2559"/>
          <w:tab w:val="left" w:pos="2979"/>
          <w:tab w:val="left" w:pos="3399"/>
          <w:tab w:val="left" w:pos="3819"/>
          <w:tab w:val="left" w:pos="4260"/>
          <w:tab w:val="left" w:pos="4680"/>
          <w:tab w:val="left" w:pos="5100"/>
          <w:tab w:val="left" w:pos="5520"/>
          <w:tab w:val="left" w:pos="5959"/>
          <w:tab w:val="left" w:pos="6379"/>
          <w:tab w:val="left" w:pos="6799"/>
          <w:tab w:val="left" w:pos="7219"/>
          <w:tab w:val="left" w:pos="7659"/>
          <w:tab w:val="left" w:pos="8079"/>
          <w:tab w:val="left" w:pos="8499"/>
          <w:tab w:val="left" w:pos="8636"/>
          <w:tab w:val="left" w:pos="9360"/>
          <w:tab w:val="left" w:pos="9780"/>
          <w:tab w:val="left" w:pos="10200"/>
          <w:tab w:val="left" w:pos="10620"/>
          <w:tab w:val="left" w:pos="11059"/>
          <w:tab w:val="left" w:pos="11479"/>
          <w:tab w:val="left" w:pos="11899"/>
          <w:tab w:val="left" w:pos="12339"/>
          <w:tab w:val="left" w:pos="12759"/>
          <w:tab w:val="left" w:pos="13179"/>
          <w:tab w:val="left" w:pos="13599"/>
        </w:tabs>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第十八条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根据学院有关规定，可以申请辅修非注册专业或者选修其他专业课程；可以申请跨校辅修专业或者修读课程，参加学校认可的开放式网络课程学习。学生修得的课程学分及其成绩，经学院审核同意后予以承认。</w:t>
      </w:r>
    </w:p>
    <w:p w:rsidR="000859CB" w:rsidRPr="00692E1F" w:rsidRDefault="000859CB" w:rsidP="008849D0">
      <w:pPr>
        <w:tabs>
          <w:tab w:val="left" w:pos="0"/>
          <w:tab w:val="left" w:pos="420"/>
          <w:tab w:val="left" w:pos="859"/>
          <w:tab w:val="left" w:pos="1279"/>
          <w:tab w:val="left" w:pos="1699"/>
          <w:tab w:val="left" w:pos="2119"/>
          <w:tab w:val="left" w:pos="2559"/>
          <w:tab w:val="left" w:pos="2979"/>
          <w:tab w:val="left" w:pos="3399"/>
          <w:tab w:val="left" w:pos="3819"/>
          <w:tab w:val="left" w:pos="4260"/>
          <w:tab w:val="left" w:pos="4680"/>
          <w:tab w:val="left" w:pos="5100"/>
          <w:tab w:val="left" w:pos="5520"/>
          <w:tab w:val="left" w:pos="5959"/>
          <w:tab w:val="left" w:pos="6379"/>
          <w:tab w:val="left" w:pos="6799"/>
          <w:tab w:val="left" w:pos="7219"/>
          <w:tab w:val="left" w:pos="7659"/>
          <w:tab w:val="left" w:pos="8079"/>
          <w:tab w:val="left" w:pos="8499"/>
          <w:tab w:val="left" w:pos="8636"/>
          <w:tab w:val="left" w:pos="9360"/>
          <w:tab w:val="left" w:pos="9780"/>
          <w:tab w:val="left" w:pos="10200"/>
          <w:tab w:val="left" w:pos="10620"/>
          <w:tab w:val="left" w:pos="11059"/>
          <w:tab w:val="left" w:pos="11479"/>
          <w:tab w:val="left" w:pos="11899"/>
          <w:tab w:val="left" w:pos="12339"/>
          <w:tab w:val="left" w:pos="12759"/>
          <w:tab w:val="left" w:pos="13179"/>
          <w:tab w:val="left" w:pos="13599"/>
        </w:tabs>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学生因转学、转专业（类）、校际交流（交换）学习等原因跨校、跨专业（类）修得的课程学分及其成绩，按照学院相关规定给予认定。</w:t>
      </w:r>
    </w:p>
    <w:p w:rsidR="000859CB" w:rsidRPr="00692E1F" w:rsidRDefault="000859CB" w:rsidP="008849D0">
      <w:pPr>
        <w:tabs>
          <w:tab w:val="left" w:pos="0"/>
          <w:tab w:val="left" w:pos="420"/>
          <w:tab w:val="left" w:pos="859"/>
          <w:tab w:val="left" w:pos="1279"/>
          <w:tab w:val="left" w:pos="1699"/>
          <w:tab w:val="left" w:pos="2119"/>
          <w:tab w:val="left" w:pos="2559"/>
          <w:tab w:val="left" w:pos="2979"/>
          <w:tab w:val="left" w:pos="3399"/>
          <w:tab w:val="left" w:pos="3819"/>
          <w:tab w:val="left" w:pos="4260"/>
          <w:tab w:val="left" w:pos="4680"/>
          <w:tab w:val="left" w:pos="5100"/>
          <w:tab w:val="left" w:pos="5520"/>
          <w:tab w:val="left" w:pos="5959"/>
          <w:tab w:val="left" w:pos="6379"/>
          <w:tab w:val="left" w:pos="6799"/>
          <w:tab w:val="left" w:pos="7219"/>
          <w:tab w:val="left" w:pos="7659"/>
          <w:tab w:val="left" w:pos="8079"/>
          <w:tab w:val="left" w:pos="8499"/>
          <w:tab w:val="left" w:pos="8636"/>
          <w:tab w:val="left" w:pos="9360"/>
          <w:tab w:val="left" w:pos="9780"/>
          <w:tab w:val="left" w:pos="10200"/>
          <w:tab w:val="left" w:pos="10620"/>
          <w:tab w:val="left" w:pos="11059"/>
          <w:tab w:val="left" w:pos="11479"/>
          <w:tab w:val="left" w:pos="11899"/>
          <w:tab w:val="left" w:pos="12339"/>
          <w:tab w:val="left" w:pos="12759"/>
          <w:tab w:val="left" w:pos="13179"/>
          <w:tab w:val="left" w:pos="13599"/>
        </w:tabs>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第十九条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参加创新创业、社会实践等活动以及发表论文、获得专利授权等与专业学习、学业要求相关的经历、成果，可以折算为课程学分，计入学业成绩。学院鼓励、支持和指导学生参加社会实践、创新创业活动，建立创新创业档案，设置创新创业学分。具体办法按照学院相关规定执行。</w:t>
      </w:r>
    </w:p>
    <w:p w:rsidR="000859CB" w:rsidRPr="00692E1F" w:rsidRDefault="000859CB">
      <w:pPr>
        <w:autoSpaceDE w:val="0"/>
        <w:autoSpaceDN w:val="0"/>
        <w:spacing w:line="440" w:lineRule="exact"/>
        <w:ind w:firstLine="56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第二十条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为鼓励学生多途径获取知识，提高创新能力和实践能力，设立课外学分。课外学分的认定按照学院相关规定执行。</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第二十一条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学院可根据学生的学业状况将其编入相应年级学习，以利于学生顺利完成学业。</w:t>
      </w:r>
    </w:p>
    <w:p w:rsidR="000859CB" w:rsidRDefault="000859CB">
      <w:pPr>
        <w:adjustRightInd w:val="0"/>
        <w:snapToGrid w:val="0"/>
        <w:spacing w:line="440" w:lineRule="exact"/>
        <w:rPr>
          <w:rFonts w:ascii="Times New Roman" w:hAnsi="Times New Roman"/>
          <w:sz w:val="24"/>
          <w:shd w:val="clear" w:color="auto" w:fill="FFFFFF"/>
        </w:rPr>
      </w:pPr>
    </w:p>
    <w:p w:rsidR="000859CB" w:rsidRPr="00692E1F" w:rsidRDefault="000859CB">
      <w:pPr>
        <w:adjustRightInd w:val="0"/>
        <w:snapToGrid w:val="0"/>
        <w:spacing w:line="440" w:lineRule="exact"/>
        <w:jc w:val="center"/>
        <w:rPr>
          <w:rFonts w:ascii="仿宋_GB2312" w:eastAsia="仿宋_GB2312" w:hAnsi="Times New Roman"/>
          <w:b/>
          <w:sz w:val="32"/>
          <w:szCs w:val="32"/>
          <w:shd w:val="clear" w:color="auto" w:fill="FFFFFF"/>
        </w:rPr>
      </w:pPr>
      <w:r w:rsidRPr="00692E1F">
        <w:rPr>
          <w:rFonts w:ascii="仿宋_GB2312" w:eastAsia="仿宋_GB2312" w:hAnsi="Times New Roman" w:hint="eastAsia"/>
          <w:b/>
          <w:sz w:val="32"/>
          <w:szCs w:val="32"/>
          <w:shd w:val="clear" w:color="auto" w:fill="FFFFFF"/>
        </w:rPr>
        <w:t>第五章课程考核与学业预警</w:t>
      </w:r>
    </w:p>
    <w:p w:rsidR="000859CB" w:rsidRPr="00692E1F" w:rsidRDefault="000859CB" w:rsidP="00692E1F">
      <w:pPr>
        <w:autoSpaceDE w:val="0"/>
        <w:autoSpaceDN w:val="0"/>
        <w:spacing w:line="440" w:lineRule="exact"/>
        <w:ind w:firstLine="56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第二十二条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学生应参加所修读课程的考核。考核成绩记入学生成绩册，并归入本人学籍档案。</w:t>
      </w:r>
    </w:p>
    <w:p w:rsidR="000859CB" w:rsidRPr="00692E1F" w:rsidRDefault="000859CB" w:rsidP="00692E1F">
      <w:pPr>
        <w:autoSpaceDE w:val="0"/>
        <w:autoSpaceDN w:val="0"/>
        <w:spacing w:line="440" w:lineRule="exact"/>
        <w:ind w:firstLine="56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第二十三条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课程考核成绩合格，即取得课程学分。课程考核成绩由平时成绩（含期中考试成绩）和期末考试成绩综合评定。课程考核成绩可按百分制记分，也可按五级制记分。</w:t>
      </w:r>
    </w:p>
    <w:p w:rsidR="000859CB" w:rsidRPr="00692E1F" w:rsidRDefault="000859CB" w:rsidP="00692E1F">
      <w:pPr>
        <w:autoSpaceDE w:val="0"/>
        <w:autoSpaceDN w:val="0"/>
        <w:spacing w:line="440" w:lineRule="exact"/>
        <w:ind w:firstLine="56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第二十四条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 xml:space="preserve">学生的学习质量采用绩点制综合衡量。　</w:t>
      </w:r>
    </w:p>
    <w:p w:rsidR="000859CB" w:rsidRPr="00692E1F" w:rsidRDefault="000859CB" w:rsidP="00692E1F">
      <w:pPr>
        <w:autoSpaceDE w:val="0"/>
        <w:autoSpaceDN w:val="0"/>
        <w:spacing w:line="440" w:lineRule="exact"/>
        <w:ind w:firstLine="560"/>
        <w:rPr>
          <w:rFonts w:ascii="仿宋_GB2312" w:eastAsia="仿宋_GB2312" w:hAnsi="宋体" w:cs="宋体"/>
          <w:kern w:val="0"/>
          <w:sz w:val="32"/>
          <w:szCs w:val="32"/>
        </w:rPr>
      </w:pP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课程绩点。课程考核成绩与课程绩点对应关系如下：</w:t>
      </w:r>
    </w:p>
    <w:tbl>
      <w:tblPr>
        <w:tblW w:w="8303" w:type="dxa"/>
        <w:jc w:val="center"/>
        <w:tblBorders>
          <w:top w:val="single" w:sz="4" w:space="0" w:color="auto"/>
          <w:left w:val="single" w:sz="4" w:space="0" w:color="auto"/>
          <w:bottom w:val="single" w:sz="4" w:space="0" w:color="auto"/>
          <w:right w:val="single" w:sz="4" w:space="0" w:color="auto"/>
        </w:tblBorders>
        <w:tblLayout w:type="fixed"/>
        <w:tblLook w:val="00A0"/>
      </w:tblPr>
      <w:tblGrid>
        <w:gridCol w:w="1876"/>
        <w:gridCol w:w="2156"/>
        <w:gridCol w:w="519"/>
        <w:gridCol w:w="1876"/>
        <w:gridCol w:w="1876"/>
      </w:tblGrid>
      <w:tr w:rsidR="000859CB" w:rsidTr="00692E1F">
        <w:trPr>
          <w:trHeight w:val="574"/>
          <w:jc w:val="center"/>
        </w:trPr>
        <w:tc>
          <w:tcPr>
            <w:tcW w:w="1876" w:type="dxa"/>
            <w:tcBorders>
              <w:top w:val="single" w:sz="4" w:space="0" w:color="auto"/>
              <w:bottom w:val="single" w:sz="4" w:space="0" w:color="auto"/>
              <w:right w:val="single" w:sz="4" w:space="0" w:color="auto"/>
            </w:tcBorders>
            <w:vAlign w:val="center"/>
          </w:tcPr>
          <w:p w:rsidR="000859CB" w:rsidRPr="00692E1F" w:rsidRDefault="000859CB"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百分制</w:t>
            </w:r>
          </w:p>
        </w:tc>
        <w:tc>
          <w:tcPr>
            <w:tcW w:w="2156" w:type="dxa"/>
            <w:tcBorders>
              <w:top w:val="single" w:sz="4" w:space="0" w:color="auto"/>
              <w:left w:val="single" w:sz="4" w:space="0" w:color="auto"/>
              <w:bottom w:val="single" w:sz="4" w:space="0" w:color="auto"/>
              <w:right w:val="single" w:sz="4" w:space="0" w:color="auto"/>
            </w:tcBorders>
            <w:vAlign w:val="center"/>
          </w:tcPr>
          <w:p w:rsidR="000859CB" w:rsidRPr="00692E1F" w:rsidRDefault="000859CB" w:rsidP="000859CB">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绩点</w:t>
            </w:r>
          </w:p>
        </w:tc>
        <w:tc>
          <w:tcPr>
            <w:tcW w:w="519" w:type="dxa"/>
            <w:vMerge w:val="restart"/>
            <w:tcBorders>
              <w:top w:val="single" w:sz="4" w:space="0" w:color="auto"/>
              <w:left w:val="single" w:sz="4" w:space="0" w:color="auto"/>
              <w:bottom w:val="single" w:sz="4" w:space="0" w:color="auto"/>
              <w:right w:val="single" w:sz="4" w:space="0" w:color="auto"/>
            </w:tcBorders>
            <w:vAlign w:val="center"/>
          </w:tcPr>
          <w:p w:rsidR="000859CB" w:rsidRDefault="000859CB" w:rsidP="000859CB">
            <w:pPr>
              <w:adjustRightInd w:val="0"/>
              <w:snapToGrid w:val="0"/>
              <w:spacing w:line="440" w:lineRule="exact"/>
              <w:ind w:firstLineChars="200" w:firstLine="31680"/>
              <w:jc w:val="center"/>
              <w:rPr>
                <w:rFonts w:ascii="Times New Roman" w:hAnsi="Times New Roman"/>
                <w:sz w:val="24"/>
                <w:shd w:val="clear" w:color="auto" w:fill="FFFFFF"/>
              </w:rPr>
            </w:pPr>
          </w:p>
        </w:tc>
        <w:tc>
          <w:tcPr>
            <w:tcW w:w="1876" w:type="dxa"/>
            <w:tcBorders>
              <w:top w:val="single" w:sz="4" w:space="0" w:color="auto"/>
              <w:left w:val="single" w:sz="4" w:space="0" w:color="auto"/>
              <w:bottom w:val="single" w:sz="4" w:space="0" w:color="auto"/>
              <w:right w:val="single" w:sz="4" w:space="0" w:color="auto"/>
            </w:tcBorders>
            <w:vAlign w:val="center"/>
          </w:tcPr>
          <w:p w:rsidR="000859CB" w:rsidRPr="00692E1F" w:rsidRDefault="000859CB"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五级制</w:t>
            </w:r>
          </w:p>
        </w:tc>
        <w:tc>
          <w:tcPr>
            <w:tcW w:w="1876" w:type="dxa"/>
            <w:tcBorders>
              <w:top w:val="single" w:sz="4" w:space="0" w:color="auto"/>
              <w:left w:val="single" w:sz="4" w:space="0" w:color="auto"/>
              <w:bottom w:val="single" w:sz="4" w:space="0" w:color="auto"/>
            </w:tcBorders>
            <w:vAlign w:val="center"/>
          </w:tcPr>
          <w:p w:rsidR="000859CB" w:rsidRPr="00692E1F" w:rsidRDefault="000859CB"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绩点</w:t>
            </w:r>
          </w:p>
        </w:tc>
      </w:tr>
      <w:tr w:rsidR="000859CB" w:rsidTr="00692E1F">
        <w:trPr>
          <w:trHeight w:val="70"/>
          <w:jc w:val="center"/>
        </w:trPr>
        <w:tc>
          <w:tcPr>
            <w:tcW w:w="1876" w:type="dxa"/>
            <w:tcBorders>
              <w:top w:val="single" w:sz="4" w:space="0" w:color="auto"/>
              <w:bottom w:val="single" w:sz="4" w:space="0" w:color="auto"/>
              <w:right w:val="single" w:sz="4" w:space="0" w:color="auto"/>
            </w:tcBorders>
            <w:vAlign w:val="center"/>
          </w:tcPr>
          <w:p w:rsidR="000859CB" w:rsidRPr="00692E1F" w:rsidRDefault="000859CB"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90</w:t>
            </w:r>
            <w:r w:rsidRPr="00692E1F">
              <w:rPr>
                <w:rFonts w:ascii="仿宋_GB2312" w:eastAsia="仿宋_GB2312" w:hAnsi="宋体" w:cs="宋体"/>
                <w:kern w:val="0"/>
                <w:sz w:val="32"/>
                <w:szCs w:val="32"/>
              </w:rPr>
              <w:t>—</w:t>
            </w:r>
            <w:r w:rsidRPr="00692E1F">
              <w:rPr>
                <w:rFonts w:ascii="仿宋_GB2312" w:eastAsia="仿宋_GB2312" w:hAnsi="宋体" w:cs="宋体"/>
                <w:kern w:val="0"/>
                <w:sz w:val="32"/>
                <w:szCs w:val="32"/>
              </w:rPr>
              <w:t>100</w:t>
            </w:r>
          </w:p>
        </w:tc>
        <w:tc>
          <w:tcPr>
            <w:tcW w:w="2156" w:type="dxa"/>
            <w:tcBorders>
              <w:top w:val="single" w:sz="4" w:space="0" w:color="auto"/>
              <w:left w:val="single" w:sz="4" w:space="0" w:color="auto"/>
              <w:bottom w:val="single" w:sz="4" w:space="0" w:color="auto"/>
              <w:right w:val="single" w:sz="4" w:space="0" w:color="auto"/>
            </w:tcBorders>
            <w:vAlign w:val="center"/>
          </w:tcPr>
          <w:p w:rsidR="000859CB" w:rsidRPr="00692E1F" w:rsidRDefault="000859CB"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4.0-5.0</w:t>
            </w:r>
          </w:p>
        </w:tc>
        <w:tc>
          <w:tcPr>
            <w:tcW w:w="519" w:type="dxa"/>
            <w:vMerge/>
            <w:tcBorders>
              <w:top w:val="single" w:sz="4" w:space="0" w:color="auto"/>
              <w:left w:val="single" w:sz="4" w:space="0" w:color="auto"/>
              <w:bottom w:val="single" w:sz="4" w:space="0" w:color="auto"/>
              <w:right w:val="single" w:sz="4" w:space="0" w:color="auto"/>
            </w:tcBorders>
            <w:vAlign w:val="center"/>
          </w:tcPr>
          <w:p w:rsidR="000859CB" w:rsidRDefault="000859CB" w:rsidP="000859CB">
            <w:pPr>
              <w:adjustRightInd w:val="0"/>
              <w:snapToGrid w:val="0"/>
              <w:spacing w:line="440" w:lineRule="exact"/>
              <w:ind w:firstLineChars="200" w:firstLine="31680"/>
              <w:jc w:val="center"/>
              <w:rPr>
                <w:rFonts w:ascii="Times New Roman" w:hAnsi="Times New Roman"/>
                <w:sz w:val="24"/>
                <w:shd w:val="clear" w:color="auto" w:fill="FFFFFF"/>
              </w:rPr>
            </w:pPr>
          </w:p>
        </w:tc>
        <w:tc>
          <w:tcPr>
            <w:tcW w:w="1876" w:type="dxa"/>
            <w:tcBorders>
              <w:top w:val="single" w:sz="4" w:space="0" w:color="auto"/>
              <w:left w:val="single" w:sz="4" w:space="0" w:color="auto"/>
              <w:bottom w:val="single" w:sz="4" w:space="0" w:color="auto"/>
              <w:right w:val="single" w:sz="4" w:space="0" w:color="auto"/>
            </w:tcBorders>
            <w:vAlign w:val="center"/>
          </w:tcPr>
          <w:p w:rsidR="000859CB" w:rsidRPr="00692E1F" w:rsidRDefault="000859CB"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优</w:t>
            </w:r>
          </w:p>
        </w:tc>
        <w:tc>
          <w:tcPr>
            <w:tcW w:w="1876" w:type="dxa"/>
            <w:tcBorders>
              <w:top w:val="single" w:sz="4" w:space="0" w:color="auto"/>
              <w:left w:val="single" w:sz="4" w:space="0" w:color="auto"/>
              <w:bottom w:val="single" w:sz="4" w:space="0" w:color="auto"/>
            </w:tcBorders>
            <w:vAlign w:val="center"/>
          </w:tcPr>
          <w:p w:rsidR="000859CB" w:rsidRPr="00692E1F" w:rsidRDefault="000859CB"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4.5</w:t>
            </w:r>
          </w:p>
        </w:tc>
      </w:tr>
      <w:tr w:rsidR="000859CB" w:rsidTr="00692E1F">
        <w:trPr>
          <w:trHeight w:val="70"/>
          <w:jc w:val="center"/>
        </w:trPr>
        <w:tc>
          <w:tcPr>
            <w:tcW w:w="1876" w:type="dxa"/>
            <w:tcBorders>
              <w:top w:val="single" w:sz="4" w:space="0" w:color="auto"/>
              <w:bottom w:val="single" w:sz="4" w:space="0" w:color="auto"/>
              <w:right w:val="single" w:sz="4" w:space="0" w:color="auto"/>
            </w:tcBorders>
            <w:vAlign w:val="center"/>
          </w:tcPr>
          <w:p w:rsidR="000859CB" w:rsidRPr="00692E1F" w:rsidRDefault="000859CB"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80</w:t>
            </w:r>
            <w:r w:rsidRPr="00692E1F">
              <w:rPr>
                <w:rFonts w:ascii="仿宋_GB2312" w:eastAsia="仿宋_GB2312" w:hAnsi="宋体" w:cs="宋体"/>
                <w:kern w:val="0"/>
                <w:sz w:val="32"/>
                <w:szCs w:val="32"/>
              </w:rPr>
              <w:t>—</w:t>
            </w:r>
            <w:r w:rsidRPr="00692E1F">
              <w:rPr>
                <w:rFonts w:ascii="仿宋_GB2312" w:eastAsia="仿宋_GB2312" w:hAnsi="宋体" w:cs="宋体"/>
                <w:kern w:val="0"/>
                <w:sz w:val="32"/>
                <w:szCs w:val="32"/>
              </w:rPr>
              <w:t>89</w:t>
            </w:r>
          </w:p>
        </w:tc>
        <w:tc>
          <w:tcPr>
            <w:tcW w:w="2156" w:type="dxa"/>
            <w:tcBorders>
              <w:top w:val="single" w:sz="4" w:space="0" w:color="auto"/>
              <w:left w:val="single" w:sz="4" w:space="0" w:color="auto"/>
              <w:bottom w:val="single" w:sz="4" w:space="0" w:color="auto"/>
              <w:right w:val="single" w:sz="4" w:space="0" w:color="auto"/>
            </w:tcBorders>
            <w:vAlign w:val="center"/>
          </w:tcPr>
          <w:p w:rsidR="000859CB" w:rsidRPr="00692E1F" w:rsidRDefault="000859CB"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3.0-3.9</w:t>
            </w:r>
          </w:p>
        </w:tc>
        <w:tc>
          <w:tcPr>
            <w:tcW w:w="519" w:type="dxa"/>
            <w:vMerge/>
            <w:tcBorders>
              <w:top w:val="single" w:sz="4" w:space="0" w:color="auto"/>
              <w:left w:val="single" w:sz="4" w:space="0" w:color="auto"/>
              <w:bottom w:val="single" w:sz="4" w:space="0" w:color="auto"/>
              <w:right w:val="single" w:sz="4" w:space="0" w:color="auto"/>
            </w:tcBorders>
            <w:vAlign w:val="center"/>
          </w:tcPr>
          <w:p w:rsidR="000859CB" w:rsidRDefault="000859CB" w:rsidP="000859CB">
            <w:pPr>
              <w:adjustRightInd w:val="0"/>
              <w:snapToGrid w:val="0"/>
              <w:spacing w:line="440" w:lineRule="exact"/>
              <w:ind w:firstLineChars="200" w:firstLine="31680"/>
              <w:jc w:val="center"/>
              <w:rPr>
                <w:rFonts w:ascii="Times New Roman" w:hAnsi="Times New Roman"/>
                <w:sz w:val="24"/>
                <w:shd w:val="clear" w:color="auto" w:fill="FFFFFF"/>
              </w:rPr>
            </w:pPr>
          </w:p>
        </w:tc>
        <w:tc>
          <w:tcPr>
            <w:tcW w:w="1876" w:type="dxa"/>
            <w:tcBorders>
              <w:top w:val="single" w:sz="4" w:space="0" w:color="auto"/>
              <w:left w:val="single" w:sz="4" w:space="0" w:color="auto"/>
              <w:bottom w:val="single" w:sz="4" w:space="0" w:color="auto"/>
              <w:right w:val="single" w:sz="4" w:space="0" w:color="auto"/>
            </w:tcBorders>
            <w:vAlign w:val="center"/>
          </w:tcPr>
          <w:p w:rsidR="000859CB" w:rsidRPr="00692E1F" w:rsidRDefault="000859CB"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良</w:t>
            </w:r>
          </w:p>
        </w:tc>
        <w:tc>
          <w:tcPr>
            <w:tcW w:w="1876" w:type="dxa"/>
            <w:tcBorders>
              <w:top w:val="single" w:sz="4" w:space="0" w:color="auto"/>
              <w:left w:val="single" w:sz="4" w:space="0" w:color="auto"/>
              <w:bottom w:val="single" w:sz="4" w:space="0" w:color="auto"/>
            </w:tcBorders>
            <w:vAlign w:val="center"/>
          </w:tcPr>
          <w:p w:rsidR="000859CB" w:rsidRPr="00692E1F" w:rsidRDefault="000859CB"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3.5</w:t>
            </w:r>
          </w:p>
        </w:tc>
      </w:tr>
      <w:tr w:rsidR="000859CB" w:rsidTr="00692E1F">
        <w:trPr>
          <w:trHeight w:val="70"/>
          <w:jc w:val="center"/>
        </w:trPr>
        <w:tc>
          <w:tcPr>
            <w:tcW w:w="1876" w:type="dxa"/>
            <w:tcBorders>
              <w:top w:val="single" w:sz="4" w:space="0" w:color="auto"/>
              <w:bottom w:val="single" w:sz="4" w:space="0" w:color="auto"/>
              <w:right w:val="single" w:sz="4" w:space="0" w:color="auto"/>
            </w:tcBorders>
            <w:vAlign w:val="center"/>
          </w:tcPr>
          <w:p w:rsidR="000859CB" w:rsidRPr="00692E1F" w:rsidRDefault="000859CB"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70</w:t>
            </w:r>
            <w:r w:rsidRPr="00692E1F">
              <w:rPr>
                <w:rFonts w:ascii="仿宋_GB2312" w:eastAsia="仿宋_GB2312" w:hAnsi="宋体" w:cs="宋体"/>
                <w:kern w:val="0"/>
                <w:sz w:val="32"/>
                <w:szCs w:val="32"/>
              </w:rPr>
              <w:t>—</w:t>
            </w:r>
            <w:r w:rsidRPr="00692E1F">
              <w:rPr>
                <w:rFonts w:ascii="仿宋_GB2312" w:eastAsia="仿宋_GB2312" w:hAnsi="宋体" w:cs="宋体"/>
                <w:kern w:val="0"/>
                <w:sz w:val="32"/>
                <w:szCs w:val="32"/>
              </w:rPr>
              <w:t>79</w:t>
            </w:r>
          </w:p>
        </w:tc>
        <w:tc>
          <w:tcPr>
            <w:tcW w:w="2156" w:type="dxa"/>
            <w:tcBorders>
              <w:top w:val="single" w:sz="4" w:space="0" w:color="auto"/>
              <w:left w:val="single" w:sz="4" w:space="0" w:color="auto"/>
              <w:bottom w:val="single" w:sz="4" w:space="0" w:color="auto"/>
              <w:right w:val="single" w:sz="4" w:space="0" w:color="auto"/>
            </w:tcBorders>
            <w:vAlign w:val="center"/>
          </w:tcPr>
          <w:p w:rsidR="000859CB" w:rsidRPr="00692E1F" w:rsidRDefault="000859CB"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2.0-2.9</w:t>
            </w:r>
          </w:p>
        </w:tc>
        <w:tc>
          <w:tcPr>
            <w:tcW w:w="519" w:type="dxa"/>
            <w:vMerge/>
            <w:tcBorders>
              <w:top w:val="single" w:sz="4" w:space="0" w:color="auto"/>
              <w:left w:val="single" w:sz="4" w:space="0" w:color="auto"/>
              <w:bottom w:val="single" w:sz="4" w:space="0" w:color="auto"/>
              <w:right w:val="single" w:sz="4" w:space="0" w:color="auto"/>
            </w:tcBorders>
            <w:vAlign w:val="center"/>
          </w:tcPr>
          <w:p w:rsidR="000859CB" w:rsidRDefault="000859CB" w:rsidP="000859CB">
            <w:pPr>
              <w:adjustRightInd w:val="0"/>
              <w:snapToGrid w:val="0"/>
              <w:spacing w:line="440" w:lineRule="exact"/>
              <w:ind w:firstLineChars="200" w:firstLine="31680"/>
              <w:jc w:val="center"/>
              <w:rPr>
                <w:rFonts w:ascii="Times New Roman" w:hAnsi="Times New Roman"/>
                <w:sz w:val="24"/>
                <w:shd w:val="clear" w:color="auto" w:fill="FFFFFF"/>
              </w:rPr>
            </w:pPr>
          </w:p>
        </w:tc>
        <w:tc>
          <w:tcPr>
            <w:tcW w:w="1876" w:type="dxa"/>
            <w:tcBorders>
              <w:top w:val="single" w:sz="4" w:space="0" w:color="auto"/>
              <w:left w:val="single" w:sz="4" w:space="0" w:color="auto"/>
              <w:bottom w:val="single" w:sz="4" w:space="0" w:color="auto"/>
              <w:right w:val="single" w:sz="4" w:space="0" w:color="auto"/>
            </w:tcBorders>
            <w:vAlign w:val="center"/>
          </w:tcPr>
          <w:p w:rsidR="000859CB" w:rsidRPr="00692E1F" w:rsidRDefault="000859CB"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中</w:t>
            </w:r>
          </w:p>
        </w:tc>
        <w:tc>
          <w:tcPr>
            <w:tcW w:w="1876" w:type="dxa"/>
            <w:tcBorders>
              <w:top w:val="single" w:sz="4" w:space="0" w:color="auto"/>
              <w:left w:val="single" w:sz="4" w:space="0" w:color="auto"/>
              <w:bottom w:val="single" w:sz="4" w:space="0" w:color="auto"/>
            </w:tcBorders>
            <w:vAlign w:val="center"/>
          </w:tcPr>
          <w:p w:rsidR="000859CB" w:rsidRPr="00692E1F" w:rsidRDefault="000859CB"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2.5</w:t>
            </w:r>
          </w:p>
        </w:tc>
      </w:tr>
      <w:tr w:rsidR="000859CB" w:rsidTr="00692E1F">
        <w:trPr>
          <w:trHeight w:val="70"/>
          <w:jc w:val="center"/>
        </w:trPr>
        <w:tc>
          <w:tcPr>
            <w:tcW w:w="1876" w:type="dxa"/>
            <w:tcBorders>
              <w:top w:val="single" w:sz="4" w:space="0" w:color="auto"/>
              <w:bottom w:val="single" w:sz="4" w:space="0" w:color="auto"/>
              <w:right w:val="single" w:sz="4" w:space="0" w:color="auto"/>
            </w:tcBorders>
            <w:vAlign w:val="center"/>
          </w:tcPr>
          <w:p w:rsidR="000859CB" w:rsidRPr="00692E1F" w:rsidRDefault="000859CB"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60</w:t>
            </w:r>
            <w:r w:rsidRPr="00692E1F">
              <w:rPr>
                <w:rFonts w:ascii="仿宋_GB2312" w:eastAsia="仿宋_GB2312" w:hAnsi="宋体" w:cs="宋体"/>
                <w:kern w:val="0"/>
                <w:sz w:val="32"/>
                <w:szCs w:val="32"/>
              </w:rPr>
              <w:t>—</w:t>
            </w:r>
            <w:r w:rsidRPr="00692E1F">
              <w:rPr>
                <w:rFonts w:ascii="仿宋_GB2312" w:eastAsia="仿宋_GB2312" w:hAnsi="宋体" w:cs="宋体"/>
                <w:kern w:val="0"/>
                <w:sz w:val="32"/>
                <w:szCs w:val="32"/>
              </w:rPr>
              <w:t>69</w:t>
            </w:r>
          </w:p>
        </w:tc>
        <w:tc>
          <w:tcPr>
            <w:tcW w:w="2156" w:type="dxa"/>
            <w:tcBorders>
              <w:top w:val="single" w:sz="4" w:space="0" w:color="auto"/>
              <w:left w:val="single" w:sz="4" w:space="0" w:color="auto"/>
              <w:bottom w:val="single" w:sz="4" w:space="0" w:color="auto"/>
              <w:right w:val="single" w:sz="4" w:space="0" w:color="auto"/>
            </w:tcBorders>
            <w:vAlign w:val="center"/>
          </w:tcPr>
          <w:p w:rsidR="000859CB" w:rsidRPr="00692E1F" w:rsidRDefault="000859CB"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1.0-1.9</w:t>
            </w:r>
          </w:p>
        </w:tc>
        <w:tc>
          <w:tcPr>
            <w:tcW w:w="519" w:type="dxa"/>
            <w:vMerge/>
            <w:tcBorders>
              <w:top w:val="single" w:sz="4" w:space="0" w:color="auto"/>
              <w:left w:val="single" w:sz="4" w:space="0" w:color="auto"/>
              <w:bottom w:val="single" w:sz="4" w:space="0" w:color="auto"/>
              <w:right w:val="single" w:sz="4" w:space="0" w:color="auto"/>
            </w:tcBorders>
            <w:vAlign w:val="center"/>
          </w:tcPr>
          <w:p w:rsidR="000859CB" w:rsidRDefault="000859CB" w:rsidP="000859CB">
            <w:pPr>
              <w:adjustRightInd w:val="0"/>
              <w:snapToGrid w:val="0"/>
              <w:spacing w:line="440" w:lineRule="exact"/>
              <w:ind w:firstLineChars="200" w:firstLine="31680"/>
              <w:jc w:val="center"/>
              <w:rPr>
                <w:rFonts w:ascii="Times New Roman" w:hAnsi="Times New Roman"/>
                <w:sz w:val="24"/>
                <w:shd w:val="clear" w:color="auto" w:fill="FFFFFF"/>
              </w:rPr>
            </w:pPr>
          </w:p>
        </w:tc>
        <w:tc>
          <w:tcPr>
            <w:tcW w:w="1876" w:type="dxa"/>
            <w:tcBorders>
              <w:top w:val="single" w:sz="4" w:space="0" w:color="auto"/>
              <w:left w:val="single" w:sz="4" w:space="0" w:color="auto"/>
              <w:bottom w:val="single" w:sz="4" w:space="0" w:color="auto"/>
              <w:right w:val="single" w:sz="4" w:space="0" w:color="auto"/>
            </w:tcBorders>
            <w:vAlign w:val="center"/>
          </w:tcPr>
          <w:p w:rsidR="000859CB" w:rsidRPr="00692E1F" w:rsidRDefault="000859CB"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及格</w:t>
            </w:r>
          </w:p>
        </w:tc>
        <w:tc>
          <w:tcPr>
            <w:tcW w:w="1876" w:type="dxa"/>
            <w:tcBorders>
              <w:top w:val="single" w:sz="4" w:space="0" w:color="auto"/>
              <w:left w:val="single" w:sz="4" w:space="0" w:color="auto"/>
              <w:bottom w:val="single" w:sz="4" w:space="0" w:color="auto"/>
            </w:tcBorders>
            <w:vAlign w:val="center"/>
          </w:tcPr>
          <w:p w:rsidR="000859CB" w:rsidRPr="00692E1F" w:rsidRDefault="000859CB"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1.5</w:t>
            </w:r>
          </w:p>
        </w:tc>
      </w:tr>
      <w:tr w:rsidR="000859CB" w:rsidTr="00692E1F">
        <w:trPr>
          <w:trHeight w:val="70"/>
          <w:jc w:val="center"/>
        </w:trPr>
        <w:tc>
          <w:tcPr>
            <w:tcW w:w="1876" w:type="dxa"/>
            <w:tcBorders>
              <w:top w:val="single" w:sz="4" w:space="0" w:color="auto"/>
              <w:bottom w:val="single" w:sz="4" w:space="0" w:color="auto"/>
              <w:right w:val="single" w:sz="4" w:space="0" w:color="auto"/>
            </w:tcBorders>
            <w:vAlign w:val="center"/>
          </w:tcPr>
          <w:p w:rsidR="000859CB" w:rsidRPr="00692E1F" w:rsidRDefault="000859CB"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59</w:t>
            </w:r>
            <w:r w:rsidRPr="00692E1F">
              <w:rPr>
                <w:rFonts w:ascii="仿宋_GB2312" w:eastAsia="仿宋_GB2312" w:hAnsi="宋体" w:cs="宋体" w:hint="eastAsia"/>
                <w:kern w:val="0"/>
                <w:sz w:val="32"/>
                <w:szCs w:val="32"/>
              </w:rPr>
              <w:t>及以下</w:t>
            </w:r>
          </w:p>
        </w:tc>
        <w:tc>
          <w:tcPr>
            <w:tcW w:w="2156" w:type="dxa"/>
            <w:tcBorders>
              <w:top w:val="single" w:sz="4" w:space="0" w:color="auto"/>
              <w:left w:val="single" w:sz="4" w:space="0" w:color="auto"/>
              <w:bottom w:val="single" w:sz="4" w:space="0" w:color="auto"/>
              <w:right w:val="single" w:sz="4" w:space="0" w:color="auto"/>
            </w:tcBorders>
            <w:vAlign w:val="center"/>
          </w:tcPr>
          <w:p w:rsidR="000859CB" w:rsidRPr="00692E1F" w:rsidRDefault="000859CB"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0</w:t>
            </w:r>
          </w:p>
        </w:tc>
        <w:tc>
          <w:tcPr>
            <w:tcW w:w="519" w:type="dxa"/>
            <w:vMerge/>
            <w:tcBorders>
              <w:top w:val="single" w:sz="4" w:space="0" w:color="auto"/>
              <w:left w:val="single" w:sz="4" w:space="0" w:color="auto"/>
              <w:bottom w:val="single" w:sz="4" w:space="0" w:color="auto"/>
              <w:right w:val="single" w:sz="4" w:space="0" w:color="auto"/>
            </w:tcBorders>
            <w:vAlign w:val="center"/>
          </w:tcPr>
          <w:p w:rsidR="000859CB" w:rsidRDefault="000859CB" w:rsidP="000859CB">
            <w:pPr>
              <w:adjustRightInd w:val="0"/>
              <w:snapToGrid w:val="0"/>
              <w:spacing w:line="440" w:lineRule="exact"/>
              <w:ind w:firstLineChars="200" w:firstLine="31680"/>
              <w:jc w:val="center"/>
              <w:rPr>
                <w:rFonts w:ascii="Times New Roman" w:hAnsi="Times New Roman"/>
                <w:sz w:val="24"/>
                <w:shd w:val="clear" w:color="auto" w:fill="FFFFFF"/>
              </w:rPr>
            </w:pPr>
          </w:p>
        </w:tc>
        <w:tc>
          <w:tcPr>
            <w:tcW w:w="1876" w:type="dxa"/>
            <w:tcBorders>
              <w:top w:val="single" w:sz="4" w:space="0" w:color="auto"/>
              <w:left w:val="single" w:sz="4" w:space="0" w:color="auto"/>
              <w:bottom w:val="single" w:sz="4" w:space="0" w:color="auto"/>
              <w:right w:val="single" w:sz="4" w:space="0" w:color="auto"/>
            </w:tcBorders>
            <w:vAlign w:val="center"/>
          </w:tcPr>
          <w:p w:rsidR="000859CB" w:rsidRPr="00692E1F" w:rsidRDefault="000859CB"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不及格</w:t>
            </w:r>
          </w:p>
        </w:tc>
        <w:tc>
          <w:tcPr>
            <w:tcW w:w="1876" w:type="dxa"/>
            <w:tcBorders>
              <w:top w:val="single" w:sz="4" w:space="0" w:color="auto"/>
              <w:left w:val="single" w:sz="4" w:space="0" w:color="auto"/>
              <w:bottom w:val="single" w:sz="4" w:space="0" w:color="auto"/>
            </w:tcBorders>
            <w:vAlign w:val="center"/>
          </w:tcPr>
          <w:p w:rsidR="000859CB" w:rsidRPr="00692E1F" w:rsidRDefault="000859CB"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0</w:t>
            </w:r>
          </w:p>
        </w:tc>
      </w:tr>
    </w:tbl>
    <w:p w:rsidR="000859CB" w:rsidRPr="00692E1F" w:rsidRDefault="000859CB" w:rsidP="000859CB">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课程学分绩点。某门课程的学分绩点，等于该门课程的绩点数乘以该门课程的学分数。</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平均学分绩点。平均学分绩点，等于各门课程学分绩点总和除以各门课程学分总和。</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第二十五条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学院实行课程考核资格审查制。有下列情况之一的，取消学生该门课程的考核资格：</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缺课（包括病假、事假、旷课等）累计超过该课程学时数</w:t>
      </w:r>
      <w:r w:rsidRPr="00692E1F">
        <w:rPr>
          <w:rFonts w:ascii="仿宋_GB2312" w:eastAsia="仿宋_GB2312" w:hAnsi="宋体" w:cs="宋体"/>
          <w:kern w:val="0"/>
          <w:sz w:val="32"/>
          <w:szCs w:val="32"/>
        </w:rPr>
        <w:t>1/3</w:t>
      </w:r>
      <w:r w:rsidRPr="00692E1F">
        <w:rPr>
          <w:rFonts w:ascii="仿宋_GB2312" w:eastAsia="仿宋_GB2312" w:hAnsi="宋体" w:cs="宋体" w:hint="eastAsia"/>
          <w:kern w:val="0"/>
          <w:sz w:val="32"/>
          <w:szCs w:val="32"/>
        </w:rPr>
        <w:t xml:space="preserve">及以上；　</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缺交作业（实验报告）达</w:t>
      </w:r>
      <w:r w:rsidRPr="00692E1F">
        <w:rPr>
          <w:rFonts w:ascii="仿宋_GB2312" w:eastAsia="仿宋_GB2312" w:hAnsi="宋体" w:cs="宋体"/>
          <w:kern w:val="0"/>
          <w:sz w:val="32"/>
          <w:szCs w:val="32"/>
        </w:rPr>
        <w:t>1/3</w:t>
      </w:r>
      <w:r w:rsidRPr="00692E1F">
        <w:rPr>
          <w:rFonts w:ascii="仿宋_GB2312" w:eastAsia="仿宋_GB2312" w:hAnsi="宋体" w:cs="宋体" w:hint="eastAsia"/>
          <w:kern w:val="0"/>
          <w:sz w:val="32"/>
          <w:szCs w:val="32"/>
        </w:rPr>
        <w:t xml:space="preserve">及以上；　</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抄袭他人作业和实验报告等，经批评教育仍不改正；</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4.</w:t>
      </w:r>
      <w:r w:rsidRPr="00692E1F">
        <w:rPr>
          <w:rFonts w:ascii="仿宋_GB2312" w:eastAsia="仿宋_GB2312" w:hAnsi="宋体" w:cs="宋体" w:hint="eastAsia"/>
          <w:kern w:val="0"/>
          <w:sz w:val="32"/>
          <w:szCs w:val="32"/>
        </w:rPr>
        <w:t xml:space="preserve">无故不参加期中考试。　</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课程考核前，由主讲教师将取消考核资格学生的名单及原因报开课分院，经开课分院核准，报教务处备案。学生对取消考核资格有异议的，可依据《绍兴文理学院元培学院学生校内申诉管理规定》有关规定提出申诉。</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第二十六条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学生有下列情况之一，可申请缓考：</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因考核时间冲突不能按时参加考核；</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因病经指定医院证明（同时需学院医务部门审核）不能参加考核；</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因特殊原因（如直系亲属亡故等），经批准离校不能按时参加考核。</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缓考申请必须在考前提出，经学生所在分院、开课分院批准，报教务处备案。未经批准而擅自缺考者，按旷考处理。</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第二十七条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 xml:space="preserve">学生应诚信考试，遵守考试纪律，如有违反，视其情节，依据《绍兴文理学院元培学院学生考试违纪处分条例》给予相应的纪律处分。　</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第二十八条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课程考核不及格者，除第二十九条规定以外，均给予一次补考机会。补考及格后取得相应课程学分。补考不予缓考。</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第二十九条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有下列情况之一的，不予补考：</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实习、见习、毕业设计（论文）等实践性课程不及格；</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取消考核资格；</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违反考试纪律；</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4.</w:t>
      </w:r>
      <w:r w:rsidRPr="00692E1F">
        <w:rPr>
          <w:rFonts w:ascii="仿宋_GB2312" w:eastAsia="仿宋_GB2312" w:hAnsi="宋体" w:cs="宋体" w:hint="eastAsia"/>
          <w:kern w:val="0"/>
          <w:sz w:val="32"/>
          <w:szCs w:val="32"/>
        </w:rPr>
        <w:t>旷考；</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5.</w:t>
      </w:r>
      <w:r w:rsidRPr="00692E1F">
        <w:rPr>
          <w:rFonts w:ascii="仿宋_GB2312" w:eastAsia="仿宋_GB2312" w:hAnsi="宋体" w:cs="宋体" w:hint="eastAsia"/>
          <w:kern w:val="0"/>
          <w:sz w:val="32"/>
          <w:szCs w:val="32"/>
        </w:rPr>
        <w:t>缓考课程不及格；</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6.</w:t>
      </w:r>
      <w:r w:rsidRPr="00692E1F">
        <w:rPr>
          <w:rFonts w:ascii="仿宋_GB2312" w:eastAsia="仿宋_GB2312" w:hAnsi="宋体" w:cs="宋体" w:hint="eastAsia"/>
          <w:kern w:val="0"/>
          <w:sz w:val="32"/>
          <w:szCs w:val="32"/>
        </w:rPr>
        <w:t>任意性选修课不及格；</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7.</w:t>
      </w:r>
      <w:r w:rsidRPr="00692E1F">
        <w:rPr>
          <w:rFonts w:ascii="仿宋_GB2312" w:eastAsia="仿宋_GB2312" w:hAnsi="宋体" w:cs="宋体" w:hint="eastAsia"/>
          <w:kern w:val="0"/>
          <w:sz w:val="32"/>
          <w:szCs w:val="32"/>
        </w:rPr>
        <w:t>免修课程不及格。</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第三十条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课程成绩的记载。</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课程的正考成绩和重修考核成绩均按实际考核成绩记载；</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课程的补考成绩在</w:t>
      </w:r>
      <w:r w:rsidRPr="00692E1F">
        <w:rPr>
          <w:rFonts w:ascii="仿宋_GB2312" w:eastAsia="仿宋_GB2312" w:hAnsi="宋体" w:cs="宋体"/>
          <w:kern w:val="0"/>
          <w:sz w:val="32"/>
          <w:szCs w:val="32"/>
        </w:rPr>
        <w:t>60</w:t>
      </w:r>
      <w:r w:rsidRPr="00692E1F">
        <w:rPr>
          <w:rFonts w:ascii="仿宋_GB2312" w:eastAsia="仿宋_GB2312" w:hAnsi="宋体" w:cs="宋体" w:hint="eastAsia"/>
          <w:kern w:val="0"/>
          <w:sz w:val="32"/>
          <w:szCs w:val="32"/>
        </w:rPr>
        <w:t>分以上的一律按</w:t>
      </w:r>
      <w:r w:rsidRPr="00692E1F">
        <w:rPr>
          <w:rFonts w:ascii="仿宋_GB2312" w:eastAsia="仿宋_GB2312" w:hAnsi="宋体" w:cs="宋体"/>
          <w:kern w:val="0"/>
          <w:sz w:val="32"/>
          <w:szCs w:val="32"/>
        </w:rPr>
        <w:t>60</w:t>
      </w:r>
      <w:r w:rsidRPr="00692E1F">
        <w:rPr>
          <w:rFonts w:ascii="仿宋_GB2312" w:eastAsia="仿宋_GB2312" w:hAnsi="宋体" w:cs="宋体" w:hint="eastAsia"/>
          <w:kern w:val="0"/>
          <w:sz w:val="32"/>
          <w:szCs w:val="32"/>
        </w:rPr>
        <w:t>分记载（五级制记分的按及格记载），</w:t>
      </w:r>
      <w:r w:rsidRPr="00692E1F">
        <w:rPr>
          <w:rFonts w:ascii="仿宋_GB2312" w:eastAsia="仿宋_GB2312" w:hAnsi="宋体" w:cs="宋体"/>
          <w:kern w:val="0"/>
          <w:sz w:val="32"/>
          <w:szCs w:val="32"/>
        </w:rPr>
        <w:t>60</w:t>
      </w:r>
      <w:r w:rsidRPr="00692E1F">
        <w:rPr>
          <w:rFonts w:ascii="仿宋_GB2312" w:eastAsia="仿宋_GB2312" w:hAnsi="宋体" w:cs="宋体" w:hint="eastAsia"/>
          <w:kern w:val="0"/>
          <w:sz w:val="32"/>
          <w:szCs w:val="32"/>
        </w:rPr>
        <w:t>分以下的据实记载（五级制记分的按不及格记载），补考不计平时成绩；</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缓考课程的成绩作为正考成绩记载；</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4.</w:t>
      </w:r>
      <w:r w:rsidRPr="00692E1F">
        <w:rPr>
          <w:rFonts w:ascii="仿宋_GB2312" w:eastAsia="仿宋_GB2312" w:hAnsi="宋体" w:cs="宋体" w:hint="eastAsia"/>
          <w:kern w:val="0"/>
          <w:sz w:val="32"/>
          <w:szCs w:val="32"/>
        </w:rPr>
        <w:t>考核违纪或作弊的课程成绩无效，记为“</w:t>
      </w:r>
      <w:r w:rsidRPr="00692E1F">
        <w:rPr>
          <w:rFonts w:ascii="仿宋_GB2312" w:eastAsia="仿宋_GB2312" w:hAnsi="宋体" w:cs="宋体"/>
          <w:kern w:val="0"/>
          <w:sz w:val="32"/>
          <w:szCs w:val="32"/>
        </w:rPr>
        <w:t>0</w:t>
      </w:r>
      <w:r w:rsidRPr="00692E1F">
        <w:rPr>
          <w:rFonts w:ascii="仿宋_GB2312" w:eastAsia="仿宋_GB2312" w:hAnsi="宋体" w:cs="宋体" w:hint="eastAsia"/>
          <w:kern w:val="0"/>
          <w:sz w:val="32"/>
          <w:szCs w:val="32"/>
        </w:rPr>
        <w:t>”分并加以注明；</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5.</w:t>
      </w:r>
      <w:r w:rsidRPr="00692E1F">
        <w:rPr>
          <w:rFonts w:ascii="仿宋_GB2312" w:eastAsia="仿宋_GB2312" w:hAnsi="宋体" w:cs="宋体" w:hint="eastAsia"/>
          <w:kern w:val="0"/>
          <w:sz w:val="32"/>
          <w:szCs w:val="32"/>
        </w:rPr>
        <w:t>旷考的课程成绩记为“</w:t>
      </w:r>
      <w:r w:rsidRPr="00692E1F">
        <w:rPr>
          <w:rFonts w:ascii="仿宋_GB2312" w:eastAsia="仿宋_GB2312" w:hAnsi="宋体" w:cs="宋体"/>
          <w:kern w:val="0"/>
          <w:sz w:val="32"/>
          <w:szCs w:val="32"/>
        </w:rPr>
        <w:t>0</w:t>
      </w:r>
      <w:r w:rsidRPr="00692E1F">
        <w:rPr>
          <w:rFonts w:ascii="仿宋_GB2312" w:eastAsia="仿宋_GB2312" w:hAnsi="宋体" w:cs="宋体" w:hint="eastAsia"/>
          <w:kern w:val="0"/>
          <w:sz w:val="32"/>
          <w:szCs w:val="32"/>
        </w:rPr>
        <w:t>”分并加以注明；</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6.</w:t>
      </w:r>
      <w:r w:rsidRPr="00692E1F">
        <w:rPr>
          <w:rFonts w:ascii="仿宋_GB2312" w:eastAsia="仿宋_GB2312" w:hAnsi="宋体" w:cs="宋体" w:hint="eastAsia"/>
          <w:kern w:val="0"/>
          <w:sz w:val="32"/>
          <w:szCs w:val="32"/>
        </w:rPr>
        <w:t>取消考核资格的课程成绩记为“</w:t>
      </w:r>
      <w:r w:rsidRPr="00692E1F">
        <w:rPr>
          <w:rFonts w:ascii="仿宋_GB2312" w:eastAsia="仿宋_GB2312" w:hAnsi="宋体" w:cs="宋体"/>
          <w:kern w:val="0"/>
          <w:sz w:val="32"/>
          <w:szCs w:val="32"/>
        </w:rPr>
        <w:t>0</w:t>
      </w:r>
      <w:r w:rsidRPr="00692E1F">
        <w:rPr>
          <w:rFonts w:ascii="仿宋_GB2312" w:eastAsia="仿宋_GB2312" w:hAnsi="宋体" w:cs="宋体" w:hint="eastAsia"/>
          <w:kern w:val="0"/>
          <w:sz w:val="32"/>
          <w:szCs w:val="32"/>
        </w:rPr>
        <w:t>”分并加以注明；</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7.</w:t>
      </w:r>
      <w:r w:rsidRPr="00692E1F">
        <w:rPr>
          <w:rFonts w:ascii="仿宋_GB2312" w:eastAsia="仿宋_GB2312" w:hAnsi="宋体" w:cs="宋体" w:hint="eastAsia"/>
          <w:kern w:val="0"/>
          <w:sz w:val="32"/>
          <w:szCs w:val="32"/>
        </w:rPr>
        <w:t>免修课程的考核成绩，达到</w:t>
      </w:r>
      <w:r w:rsidRPr="00692E1F">
        <w:rPr>
          <w:rFonts w:ascii="仿宋_GB2312" w:eastAsia="仿宋_GB2312" w:hAnsi="宋体" w:cs="宋体"/>
          <w:kern w:val="0"/>
          <w:sz w:val="32"/>
          <w:szCs w:val="32"/>
        </w:rPr>
        <w:t>75</w:t>
      </w:r>
      <w:r w:rsidRPr="00692E1F">
        <w:rPr>
          <w:rFonts w:ascii="仿宋_GB2312" w:eastAsia="仿宋_GB2312" w:hAnsi="宋体" w:cs="宋体" w:hint="eastAsia"/>
          <w:kern w:val="0"/>
          <w:sz w:val="32"/>
          <w:szCs w:val="32"/>
        </w:rPr>
        <w:t>分（中）及以上的，按实际成绩记载；低于</w:t>
      </w:r>
      <w:r w:rsidRPr="00692E1F">
        <w:rPr>
          <w:rFonts w:ascii="仿宋_GB2312" w:eastAsia="仿宋_GB2312" w:hAnsi="宋体" w:cs="宋体"/>
          <w:kern w:val="0"/>
          <w:sz w:val="32"/>
          <w:szCs w:val="32"/>
        </w:rPr>
        <w:t>75</w:t>
      </w:r>
      <w:r w:rsidRPr="00692E1F">
        <w:rPr>
          <w:rFonts w:ascii="仿宋_GB2312" w:eastAsia="仿宋_GB2312" w:hAnsi="宋体" w:cs="宋体" w:hint="eastAsia"/>
          <w:kern w:val="0"/>
          <w:sz w:val="32"/>
          <w:szCs w:val="32"/>
        </w:rPr>
        <w:t>分（中）以下、</w:t>
      </w:r>
      <w:r w:rsidRPr="00692E1F">
        <w:rPr>
          <w:rFonts w:ascii="仿宋_GB2312" w:eastAsia="仿宋_GB2312" w:hAnsi="宋体" w:cs="宋体"/>
          <w:kern w:val="0"/>
          <w:sz w:val="32"/>
          <w:szCs w:val="32"/>
        </w:rPr>
        <w:t>60</w:t>
      </w:r>
      <w:r w:rsidRPr="00692E1F">
        <w:rPr>
          <w:rFonts w:ascii="仿宋_GB2312" w:eastAsia="仿宋_GB2312" w:hAnsi="宋体" w:cs="宋体" w:hint="eastAsia"/>
          <w:kern w:val="0"/>
          <w:sz w:val="32"/>
          <w:szCs w:val="32"/>
        </w:rPr>
        <w:t>分及以上的，记为</w:t>
      </w:r>
      <w:r w:rsidRPr="00692E1F">
        <w:rPr>
          <w:rFonts w:ascii="仿宋_GB2312" w:eastAsia="仿宋_GB2312" w:hAnsi="宋体" w:cs="宋体"/>
          <w:kern w:val="0"/>
          <w:sz w:val="32"/>
          <w:szCs w:val="32"/>
        </w:rPr>
        <w:t>59</w:t>
      </w:r>
      <w:r w:rsidRPr="00692E1F">
        <w:rPr>
          <w:rFonts w:ascii="仿宋_GB2312" w:eastAsia="仿宋_GB2312" w:hAnsi="宋体" w:cs="宋体" w:hint="eastAsia"/>
          <w:kern w:val="0"/>
          <w:sz w:val="32"/>
          <w:szCs w:val="32"/>
        </w:rPr>
        <w:t>分（不及格），低于</w:t>
      </w:r>
      <w:r w:rsidRPr="00692E1F">
        <w:rPr>
          <w:rFonts w:ascii="仿宋_GB2312" w:eastAsia="仿宋_GB2312" w:hAnsi="宋体" w:cs="宋体"/>
          <w:kern w:val="0"/>
          <w:sz w:val="32"/>
          <w:szCs w:val="32"/>
        </w:rPr>
        <w:t>60</w:t>
      </w:r>
      <w:r w:rsidRPr="00692E1F">
        <w:rPr>
          <w:rFonts w:ascii="仿宋_GB2312" w:eastAsia="仿宋_GB2312" w:hAnsi="宋体" w:cs="宋体" w:hint="eastAsia"/>
          <w:kern w:val="0"/>
          <w:sz w:val="32"/>
          <w:szCs w:val="32"/>
        </w:rPr>
        <w:t>分的，按实际成绩记载。</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第三十一条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对学生思想品德的考核、鉴定，以《绍兴文理学院元培学院学生管理规定》第三条为主要依据，采取个人小结与师生民主评议相结合的形式，写出有关实际表现的评语。</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第三十二条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学生必须参加并通过每学</w:t>
      </w:r>
      <w:bookmarkStart w:id="0" w:name="_GoBack"/>
      <w:bookmarkEnd w:id="0"/>
      <w:r w:rsidRPr="00692E1F">
        <w:rPr>
          <w:rFonts w:ascii="仿宋_GB2312" w:eastAsia="仿宋_GB2312" w:hAnsi="宋体" w:cs="宋体" w:hint="eastAsia"/>
          <w:kern w:val="0"/>
          <w:sz w:val="32"/>
          <w:szCs w:val="32"/>
        </w:rPr>
        <w:t>年一次的体质健康标准测试。</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第三十三条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学院在每学期初对学生的学业状况进行评估，学生应主动查询自己的学业状况。学院对未达到学业要求的，给予学业预警。</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学生在所修读的专业人才培养方案规定的课程学分中，必修课、限制性选修课考核不及格（已重修合格的课程除外）的学分累计达</w:t>
      </w:r>
      <w:r w:rsidRPr="00692E1F">
        <w:rPr>
          <w:rFonts w:ascii="仿宋_GB2312" w:eastAsia="仿宋_GB2312" w:hAnsi="宋体" w:cs="宋体"/>
          <w:kern w:val="0"/>
          <w:sz w:val="32"/>
          <w:szCs w:val="32"/>
        </w:rPr>
        <w:t>10</w:t>
      </w:r>
      <w:r w:rsidRPr="00692E1F">
        <w:rPr>
          <w:rFonts w:ascii="仿宋_GB2312" w:eastAsia="仿宋_GB2312" w:hAnsi="宋体" w:cs="宋体" w:hint="eastAsia"/>
          <w:kern w:val="0"/>
          <w:sz w:val="32"/>
          <w:szCs w:val="32"/>
        </w:rPr>
        <w:t>学分及以上、</w:t>
      </w:r>
      <w:r w:rsidRPr="00692E1F">
        <w:rPr>
          <w:rFonts w:ascii="仿宋_GB2312" w:eastAsia="仿宋_GB2312" w:hAnsi="宋体" w:cs="宋体"/>
          <w:kern w:val="0"/>
          <w:sz w:val="32"/>
          <w:szCs w:val="32"/>
        </w:rPr>
        <w:t>25</w:t>
      </w:r>
      <w:r w:rsidRPr="00692E1F">
        <w:rPr>
          <w:rFonts w:ascii="仿宋_GB2312" w:eastAsia="仿宋_GB2312" w:hAnsi="宋体" w:cs="宋体" w:hint="eastAsia"/>
          <w:kern w:val="0"/>
          <w:sz w:val="32"/>
          <w:szCs w:val="32"/>
        </w:rPr>
        <w:t>学分以下的，给予预警；不及格学分累计达</w:t>
      </w:r>
      <w:r w:rsidRPr="00692E1F">
        <w:rPr>
          <w:rFonts w:ascii="仿宋_GB2312" w:eastAsia="仿宋_GB2312" w:hAnsi="宋体" w:cs="宋体"/>
          <w:kern w:val="0"/>
          <w:sz w:val="32"/>
          <w:szCs w:val="32"/>
        </w:rPr>
        <w:t>25</w:t>
      </w:r>
      <w:r w:rsidRPr="00692E1F">
        <w:rPr>
          <w:rFonts w:ascii="仿宋_GB2312" w:eastAsia="仿宋_GB2312" w:hAnsi="宋体" w:cs="宋体" w:hint="eastAsia"/>
          <w:kern w:val="0"/>
          <w:sz w:val="32"/>
          <w:szCs w:val="32"/>
        </w:rPr>
        <w:t>学分及以上、</w:t>
      </w:r>
      <w:r w:rsidRPr="00692E1F">
        <w:rPr>
          <w:rFonts w:ascii="仿宋_GB2312" w:eastAsia="仿宋_GB2312" w:hAnsi="宋体" w:cs="宋体"/>
          <w:kern w:val="0"/>
          <w:sz w:val="32"/>
          <w:szCs w:val="32"/>
        </w:rPr>
        <w:t>35</w:t>
      </w:r>
      <w:r w:rsidRPr="00692E1F">
        <w:rPr>
          <w:rFonts w:ascii="仿宋_GB2312" w:eastAsia="仿宋_GB2312" w:hAnsi="宋体" w:cs="宋体" w:hint="eastAsia"/>
          <w:kern w:val="0"/>
          <w:sz w:val="32"/>
          <w:szCs w:val="32"/>
        </w:rPr>
        <w:t>学分以下的，给予退学预警。</w:t>
      </w:r>
    </w:p>
    <w:p w:rsidR="000859CB" w:rsidRDefault="000859CB" w:rsidP="008849D0">
      <w:pPr>
        <w:adjustRightInd w:val="0"/>
        <w:snapToGrid w:val="0"/>
        <w:spacing w:line="440" w:lineRule="exact"/>
        <w:ind w:firstLineChars="200" w:firstLine="31680"/>
        <w:rPr>
          <w:rFonts w:ascii="Times New Roman" w:hAnsi="Times New Roman"/>
          <w:sz w:val="24"/>
          <w:shd w:val="clear" w:color="auto" w:fill="FFFFFF"/>
        </w:rPr>
      </w:pPr>
    </w:p>
    <w:p w:rsidR="000859CB" w:rsidRPr="00692E1F" w:rsidRDefault="000859CB">
      <w:pPr>
        <w:adjustRightInd w:val="0"/>
        <w:snapToGrid w:val="0"/>
        <w:spacing w:line="440" w:lineRule="exact"/>
        <w:jc w:val="center"/>
        <w:rPr>
          <w:rFonts w:ascii="仿宋_GB2312" w:eastAsia="仿宋_GB2312" w:hAnsi="Times New Roman"/>
          <w:b/>
          <w:sz w:val="32"/>
          <w:szCs w:val="32"/>
          <w:shd w:val="clear" w:color="auto" w:fill="FFFFFF"/>
        </w:rPr>
      </w:pPr>
      <w:r w:rsidRPr="00692E1F">
        <w:rPr>
          <w:rFonts w:ascii="仿宋_GB2312" w:eastAsia="仿宋_GB2312" w:hAnsi="Times New Roman" w:hint="eastAsia"/>
          <w:b/>
          <w:sz w:val="32"/>
          <w:szCs w:val="32"/>
          <w:shd w:val="clear" w:color="auto" w:fill="FFFFFF"/>
        </w:rPr>
        <w:t>第六章休学与复学</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第三十四条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学生需暂停学业学习，可以休学。有下列情况之一，学生应申请休学：</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因病经指定医院诊断，须停课治疗、休养时间超过</w:t>
      </w:r>
      <w:r w:rsidRPr="00692E1F">
        <w:rPr>
          <w:rFonts w:ascii="仿宋_GB2312" w:eastAsia="仿宋_GB2312" w:hAnsi="宋体" w:cs="宋体"/>
          <w:kern w:val="0"/>
          <w:sz w:val="32"/>
          <w:szCs w:val="32"/>
        </w:rPr>
        <w:t>6</w:t>
      </w:r>
      <w:r w:rsidRPr="00692E1F">
        <w:rPr>
          <w:rFonts w:ascii="仿宋_GB2312" w:eastAsia="仿宋_GB2312" w:hAnsi="宋体" w:cs="宋体" w:hint="eastAsia"/>
          <w:kern w:val="0"/>
          <w:sz w:val="32"/>
          <w:szCs w:val="32"/>
        </w:rPr>
        <w:t>周及以上；</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因申请出国留学、创业或从事创新实践等请假超过</w:t>
      </w:r>
      <w:r w:rsidRPr="00692E1F">
        <w:rPr>
          <w:rFonts w:ascii="仿宋_GB2312" w:eastAsia="仿宋_GB2312" w:hAnsi="宋体" w:cs="宋体"/>
          <w:kern w:val="0"/>
          <w:sz w:val="32"/>
          <w:szCs w:val="32"/>
        </w:rPr>
        <w:t>6</w:t>
      </w:r>
      <w:r w:rsidRPr="00692E1F">
        <w:rPr>
          <w:rFonts w:ascii="仿宋_GB2312" w:eastAsia="仿宋_GB2312" w:hAnsi="宋体" w:cs="宋体" w:hint="eastAsia"/>
          <w:kern w:val="0"/>
          <w:sz w:val="32"/>
          <w:szCs w:val="32"/>
        </w:rPr>
        <w:t>周及以上；</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因其他原因，本人申请休学。</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学院认为学生应当休学的，可劝其休学或责令其休学。</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第三十五条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学生休学，可由本人提出申请并递交相关材料，经所在分院领导签署意见后，报教务处批准。</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第三十六条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休学一般以</w:t>
      </w: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年为期，经学院批准可以续休。</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第三十七条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学生休学期间的有关事项，按照以下规定处理：</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学生应当办理休学手续离校，休学学生户口不迁出学院，学院为其保留学籍。学院不承担学生休学期间的管理责任。</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 xml:space="preserve">2. </w:t>
      </w:r>
      <w:r w:rsidRPr="00692E1F">
        <w:rPr>
          <w:rFonts w:ascii="仿宋_GB2312" w:eastAsia="仿宋_GB2312" w:hAnsi="宋体" w:cs="宋体" w:hint="eastAsia"/>
          <w:kern w:val="0"/>
          <w:sz w:val="32"/>
          <w:szCs w:val="32"/>
        </w:rPr>
        <w:t>休学学生不享受在校学习学生待遇，原享受的各类奖学金、助学金和补贴停发。</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第三十八条　学生休学期满，应办理复学或续休学手续。学生复学一般应于休学期满的当学期开学前提出申请，由所在分院签署意见，报教务处核准，方可复学。因病休学的学生，申请复学时必须持有指定医院的康复证明并经学院医务部门审核。同意复学的学生，按其学业状况编入原专业的相应年级学习。</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休学期间有违法乱纪行为并达到开除学籍程度的学生，不得复学。</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第三十九条　学生应征参加中国人民解放军（含中国人民武装警察部队），学院为其保留学籍至退役后</w:t>
      </w: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年。保留学籍时间不计入学习年限。</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学生参加校院组织的跨校联合培养项目，在联合培养学校学习期间，学院为其保留学籍至项目结束。</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学生保留学籍应办理相关手续，并经学院批准。学生保留学籍期间，与其实际所在的部队、学校等组织建立管理关系。保留学籍期满前，学生应提出复学申请，并递交相关材料，经学院审核批准后方可复学。</w:t>
      </w:r>
    </w:p>
    <w:p w:rsidR="000859CB" w:rsidRDefault="000859CB" w:rsidP="008849D0">
      <w:pPr>
        <w:adjustRightInd w:val="0"/>
        <w:snapToGrid w:val="0"/>
        <w:spacing w:line="440" w:lineRule="exact"/>
        <w:ind w:firstLineChars="200" w:firstLine="31680"/>
        <w:rPr>
          <w:shd w:val="clear" w:color="auto" w:fill="FFFFFF"/>
        </w:rPr>
      </w:pPr>
    </w:p>
    <w:p w:rsidR="000859CB" w:rsidRPr="00692E1F" w:rsidRDefault="000859CB">
      <w:pPr>
        <w:adjustRightInd w:val="0"/>
        <w:snapToGrid w:val="0"/>
        <w:spacing w:line="440" w:lineRule="exact"/>
        <w:jc w:val="center"/>
        <w:rPr>
          <w:rFonts w:ascii="仿宋_GB2312" w:eastAsia="仿宋_GB2312" w:hAnsi="Times New Roman"/>
          <w:b/>
          <w:sz w:val="32"/>
          <w:szCs w:val="32"/>
          <w:shd w:val="clear" w:color="auto" w:fill="FFFFFF"/>
        </w:rPr>
      </w:pPr>
      <w:r w:rsidRPr="00692E1F">
        <w:rPr>
          <w:rFonts w:ascii="仿宋_GB2312" w:eastAsia="仿宋_GB2312" w:hAnsi="Times New Roman" w:hint="eastAsia"/>
          <w:b/>
          <w:sz w:val="32"/>
          <w:szCs w:val="32"/>
          <w:shd w:val="clear" w:color="auto" w:fill="FFFFFF"/>
        </w:rPr>
        <w:t>第七章退学</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第四十条学生</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有下列情况之一，学院予以退学处理：</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在非毕业当学期，考核不及格的必修课、限制性选修课（经重修已合格的课程除外）的学分累计达到</w:t>
      </w:r>
      <w:r w:rsidRPr="00692E1F">
        <w:rPr>
          <w:rFonts w:ascii="仿宋_GB2312" w:eastAsia="仿宋_GB2312" w:hAnsi="宋体" w:cs="宋体"/>
          <w:kern w:val="0"/>
          <w:sz w:val="32"/>
          <w:szCs w:val="32"/>
        </w:rPr>
        <w:t>35</w:t>
      </w:r>
      <w:r w:rsidRPr="00692E1F">
        <w:rPr>
          <w:rFonts w:ascii="仿宋_GB2312" w:eastAsia="仿宋_GB2312" w:hAnsi="宋体" w:cs="宋体" w:hint="eastAsia"/>
          <w:kern w:val="0"/>
          <w:sz w:val="32"/>
          <w:szCs w:val="32"/>
        </w:rPr>
        <w:t>学分及以上；</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在最长学习年限内未修完专业人才培养方案规定的课程；</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休学、保留学籍期满，逾期</w:t>
      </w: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周未提出复学或继续休学申请，或申请复学经复查不合格；</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4.</w:t>
      </w:r>
      <w:r w:rsidRPr="00692E1F">
        <w:rPr>
          <w:rFonts w:ascii="仿宋_GB2312" w:eastAsia="仿宋_GB2312" w:hAnsi="宋体" w:cs="宋体" w:hint="eastAsia"/>
          <w:kern w:val="0"/>
          <w:sz w:val="32"/>
          <w:szCs w:val="32"/>
        </w:rPr>
        <w:t>根据学院指定医院诊断，患有疾病或者意外伤残无法继续在校学习；</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5.</w:t>
      </w:r>
      <w:r w:rsidRPr="00692E1F">
        <w:rPr>
          <w:rFonts w:ascii="仿宋_GB2312" w:eastAsia="仿宋_GB2312" w:hAnsi="宋体" w:cs="宋体" w:hint="eastAsia"/>
          <w:kern w:val="0"/>
          <w:sz w:val="32"/>
          <w:szCs w:val="32"/>
        </w:rPr>
        <w:t>未经批准连续</w:t>
      </w: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周未参加学院规定的教学活动；</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6.</w:t>
      </w:r>
      <w:r w:rsidRPr="00692E1F">
        <w:rPr>
          <w:rFonts w:ascii="仿宋_GB2312" w:eastAsia="仿宋_GB2312" w:hAnsi="宋体" w:cs="宋体" w:hint="eastAsia"/>
          <w:kern w:val="0"/>
          <w:sz w:val="32"/>
          <w:szCs w:val="32"/>
        </w:rPr>
        <w:t>超过学院规定期限未注册又未履行暂缓注册手续；</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7.</w:t>
      </w:r>
      <w:r w:rsidRPr="00692E1F">
        <w:rPr>
          <w:rFonts w:ascii="仿宋_GB2312" w:eastAsia="仿宋_GB2312" w:hAnsi="宋体" w:cs="宋体" w:hint="eastAsia"/>
          <w:kern w:val="0"/>
          <w:sz w:val="32"/>
          <w:szCs w:val="32"/>
        </w:rPr>
        <w:t>经学院动员，因病应休学而不愿休学，且在一学期内缺课达到</w:t>
      </w:r>
      <w:r w:rsidRPr="00692E1F">
        <w:rPr>
          <w:rFonts w:ascii="仿宋_GB2312" w:eastAsia="仿宋_GB2312" w:hAnsi="宋体" w:cs="宋体"/>
          <w:kern w:val="0"/>
          <w:sz w:val="32"/>
          <w:szCs w:val="32"/>
        </w:rPr>
        <w:t>6</w:t>
      </w:r>
      <w:r w:rsidRPr="00692E1F">
        <w:rPr>
          <w:rFonts w:ascii="仿宋_GB2312" w:eastAsia="仿宋_GB2312" w:hAnsi="宋体" w:cs="宋体" w:hint="eastAsia"/>
          <w:kern w:val="0"/>
          <w:sz w:val="32"/>
          <w:szCs w:val="32"/>
        </w:rPr>
        <w:t>周及以上；</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8.</w:t>
      </w:r>
      <w:r w:rsidRPr="00692E1F">
        <w:rPr>
          <w:rFonts w:ascii="仿宋_GB2312" w:eastAsia="仿宋_GB2312" w:hAnsi="宋体" w:cs="宋体" w:hint="eastAsia"/>
          <w:kern w:val="0"/>
          <w:sz w:val="32"/>
          <w:szCs w:val="32"/>
        </w:rPr>
        <w:t>普通本科专业学生累计休学时间超过</w:t>
      </w:r>
      <w:r w:rsidRPr="00692E1F">
        <w:rPr>
          <w:rFonts w:ascii="仿宋_GB2312" w:eastAsia="仿宋_GB2312" w:hAnsi="宋体" w:cs="宋体"/>
          <w:kern w:val="0"/>
          <w:sz w:val="32"/>
          <w:szCs w:val="32"/>
        </w:rPr>
        <w:t>4</w:t>
      </w:r>
      <w:r w:rsidRPr="00692E1F">
        <w:rPr>
          <w:rFonts w:ascii="仿宋_GB2312" w:eastAsia="仿宋_GB2312" w:hAnsi="宋体" w:cs="宋体" w:hint="eastAsia"/>
          <w:kern w:val="0"/>
          <w:sz w:val="32"/>
          <w:szCs w:val="32"/>
        </w:rPr>
        <w:t>年，专升本专业学生累计休学时间超过</w:t>
      </w: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年。</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学生本人申请退学的，经学校审核同意后，办理退学手续。</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第四十一条　学生退学，由该生所在分院的院务会议讨论并签署意见，教务处审核，报院长办公会议批准。对学生作出退学处理决定之前，应听取学生的陈述和申辩。对退学的学生，由学院出具退学决定书并直接送交学生本人。学生拒绝签收的，以留置方式送达。退学决定书无法直接送达的，在校内公告</w:t>
      </w:r>
      <w:r w:rsidRPr="00692E1F">
        <w:rPr>
          <w:rFonts w:ascii="仿宋_GB2312" w:eastAsia="仿宋_GB2312" w:hAnsi="宋体" w:cs="宋体"/>
          <w:kern w:val="0"/>
          <w:sz w:val="32"/>
          <w:szCs w:val="32"/>
        </w:rPr>
        <w:t>30</w:t>
      </w:r>
      <w:r w:rsidRPr="00692E1F">
        <w:rPr>
          <w:rFonts w:ascii="仿宋_GB2312" w:eastAsia="仿宋_GB2312" w:hAnsi="宋体" w:cs="宋体" w:hint="eastAsia"/>
          <w:kern w:val="0"/>
          <w:sz w:val="32"/>
          <w:szCs w:val="32"/>
        </w:rPr>
        <w:t>天，公告期满视为送达。</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第四十二条　学生对退学处理有异议的，可以提出书面申诉。申诉受理按照《绍兴文理学院元培学院学生校内申诉管理规定》有关条款办理。</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第四十三条　退学学生，应在规定时间办理退学手续并离校。退学学生的档案由学院退回其家庭所在地，户口按照国家相关规定迁回原户籍地或者家庭户籍所在地。</w:t>
      </w:r>
    </w:p>
    <w:p w:rsidR="000859CB" w:rsidRDefault="000859CB">
      <w:pPr>
        <w:adjustRightInd w:val="0"/>
        <w:snapToGrid w:val="0"/>
        <w:spacing w:line="440" w:lineRule="exact"/>
        <w:rPr>
          <w:rFonts w:ascii="Times New Roman" w:hAnsi="Times New Roman"/>
          <w:sz w:val="24"/>
          <w:shd w:val="clear" w:color="auto" w:fill="FFFFFF"/>
        </w:rPr>
      </w:pPr>
    </w:p>
    <w:p w:rsidR="000859CB" w:rsidRPr="00692E1F" w:rsidRDefault="000859CB">
      <w:pPr>
        <w:adjustRightInd w:val="0"/>
        <w:snapToGrid w:val="0"/>
        <w:spacing w:line="440" w:lineRule="exact"/>
        <w:jc w:val="center"/>
        <w:rPr>
          <w:rFonts w:ascii="仿宋_GB2312" w:eastAsia="仿宋_GB2312" w:hAnsi="Times New Roman"/>
          <w:b/>
          <w:sz w:val="32"/>
          <w:szCs w:val="32"/>
          <w:shd w:val="clear" w:color="auto" w:fill="FFFFFF"/>
        </w:rPr>
      </w:pPr>
      <w:r w:rsidRPr="00692E1F">
        <w:rPr>
          <w:rFonts w:ascii="仿宋_GB2312" w:eastAsia="仿宋_GB2312" w:hAnsi="Times New Roman" w:hint="eastAsia"/>
          <w:b/>
          <w:sz w:val="32"/>
          <w:szCs w:val="32"/>
          <w:shd w:val="clear" w:color="auto" w:fill="FFFFFF"/>
        </w:rPr>
        <w:t>第八章转专业（类）与转学</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第四十四条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学生一般应当在被录取专业完成学业。如有下列情况之一的，学生可申请转专业（类）：</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确有专长，转专业（类）更能发挥其专长；</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对别的专业（类）有兴趣，并具备相应的学习能力；</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患某种疾病或者有生理缺陷，经指定医院检查证明，不能在原专业（类）学习，但尚能在其它专业（类）学习；</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4.</w:t>
      </w:r>
      <w:r w:rsidRPr="00692E1F">
        <w:rPr>
          <w:rFonts w:ascii="仿宋_GB2312" w:eastAsia="仿宋_GB2312" w:hAnsi="宋体" w:cs="宋体" w:hint="eastAsia"/>
          <w:kern w:val="0"/>
          <w:sz w:val="32"/>
          <w:szCs w:val="32"/>
        </w:rPr>
        <w:t>确有某种特殊困难或非学生本人原因，不转专业（类）无法继续学习。</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第四十五条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学生在校学习期间原则上可享有一次转专业（类）的机会。有下列情况之一者，不予转专业（类）：</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入学未满</w:t>
      </w: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学期的；</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已转过专业（类），或者曾获准转专业（类）但自愿放弃的；</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从外校转入我院学习的；</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 xml:space="preserve">4. </w:t>
      </w:r>
      <w:r w:rsidRPr="00692E1F">
        <w:rPr>
          <w:rFonts w:ascii="仿宋_GB2312" w:eastAsia="仿宋_GB2312" w:hAnsi="宋体" w:cs="宋体" w:hint="eastAsia"/>
          <w:kern w:val="0"/>
          <w:sz w:val="32"/>
          <w:szCs w:val="32"/>
        </w:rPr>
        <w:t>“专升本”或其他以单招单考方式录取的；</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5.</w:t>
      </w:r>
      <w:r w:rsidRPr="00692E1F">
        <w:rPr>
          <w:rFonts w:ascii="仿宋_GB2312" w:eastAsia="仿宋_GB2312" w:hAnsi="宋体" w:cs="宋体" w:hint="eastAsia"/>
          <w:kern w:val="0"/>
          <w:sz w:val="32"/>
          <w:szCs w:val="32"/>
        </w:rPr>
        <w:t>正在休学或保留学籍的；</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6.</w:t>
      </w:r>
      <w:r w:rsidRPr="00692E1F">
        <w:rPr>
          <w:rFonts w:ascii="仿宋_GB2312" w:eastAsia="仿宋_GB2312" w:hAnsi="宋体" w:cs="宋体" w:hint="eastAsia"/>
          <w:kern w:val="0"/>
          <w:sz w:val="32"/>
          <w:szCs w:val="32"/>
        </w:rPr>
        <w:t>应予退学的；</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7.</w:t>
      </w:r>
      <w:r w:rsidRPr="00692E1F">
        <w:rPr>
          <w:rFonts w:ascii="仿宋_GB2312" w:eastAsia="仿宋_GB2312" w:hAnsi="宋体" w:cs="宋体" w:hint="eastAsia"/>
          <w:kern w:val="0"/>
          <w:sz w:val="32"/>
          <w:szCs w:val="32"/>
        </w:rPr>
        <w:t>教育部、省招生主管部门和学校在招生时明确规定不能转专业的。</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第四十六条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转专业（类）工作每学期末开始、下学期初结束。具体程序为：教务处公布转专业（类）计划，学生提出申请并提供相关材料（获奖证书、医院证明等），学生所在分院初审，教务处复审，报院长办公会议批准。</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休学创业或退役后复学的学生，因自身情况需要转专业（类）的，学院予以优先考虑。</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第四十七条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获准转专业（类）的学生，须按照转入专业（类）年级的专业人才培养方案进行学习，在规定的学习年限内达到转入专业人才培养方案的要求，方可取得毕业资格。</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第四十八条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学生一般应当在被录取学校完成学业。因患病或者有特殊困难、特别需要，无法继续在本校学习或者不适应本校学习要求的，可以申请转学。有下列情况之一者，不得转学：</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入学未满一学期或者毕业前一年的；</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高考成绩低于拟转入学校相关专业同一生源地相应年份录取成绩的；</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由低学历层次转为高学历层次的；</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4.</w:t>
      </w:r>
      <w:r w:rsidRPr="00692E1F">
        <w:rPr>
          <w:rFonts w:ascii="仿宋_GB2312" w:eastAsia="仿宋_GB2312" w:hAnsi="宋体" w:cs="宋体" w:hint="eastAsia"/>
          <w:kern w:val="0"/>
          <w:sz w:val="32"/>
          <w:szCs w:val="32"/>
        </w:rPr>
        <w:t>以定向就业招生录取的；</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5.</w:t>
      </w:r>
      <w:r w:rsidRPr="00692E1F">
        <w:rPr>
          <w:rFonts w:ascii="仿宋_GB2312" w:eastAsia="仿宋_GB2312" w:hAnsi="宋体" w:cs="宋体" w:hint="eastAsia"/>
          <w:kern w:val="0"/>
          <w:sz w:val="32"/>
          <w:szCs w:val="32"/>
        </w:rPr>
        <w:t>其他无正当转学理由的。</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学生转学按照《绍兴文理学院元培学院转学管理办法》执行。</w:t>
      </w:r>
    </w:p>
    <w:p w:rsidR="000859CB" w:rsidRPr="00C36188" w:rsidRDefault="000859CB" w:rsidP="00C36188">
      <w:pPr>
        <w:adjustRightInd w:val="0"/>
        <w:snapToGrid w:val="0"/>
        <w:spacing w:line="440" w:lineRule="exact"/>
        <w:jc w:val="center"/>
        <w:rPr>
          <w:rFonts w:ascii="仿宋_GB2312" w:eastAsia="仿宋_GB2312" w:hAnsi="Times New Roman"/>
          <w:b/>
          <w:sz w:val="32"/>
          <w:szCs w:val="32"/>
          <w:shd w:val="clear" w:color="auto" w:fill="FFFFFF"/>
        </w:rPr>
      </w:pPr>
      <w:r w:rsidRPr="00C36188">
        <w:rPr>
          <w:rFonts w:ascii="仿宋_GB2312" w:eastAsia="仿宋_GB2312" w:hAnsi="Times New Roman" w:hint="eastAsia"/>
          <w:b/>
          <w:sz w:val="32"/>
          <w:szCs w:val="32"/>
          <w:shd w:val="clear" w:color="auto" w:fill="FFFFFF"/>
        </w:rPr>
        <w:t>第九章</w:t>
      </w:r>
      <w:r w:rsidRPr="00C36188">
        <w:rPr>
          <w:rFonts w:ascii="仿宋_GB2312" w:eastAsia="仿宋_GB2312" w:hAnsi="Times New Roman"/>
          <w:b/>
          <w:sz w:val="32"/>
          <w:szCs w:val="32"/>
          <w:shd w:val="clear" w:color="auto" w:fill="FFFFFF"/>
        </w:rPr>
        <w:t xml:space="preserve">  </w:t>
      </w:r>
      <w:r w:rsidRPr="00C36188">
        <w:rPr>
          <w:rFonts w:ascii="仿宋_GB2312" w:eastAsia="仿宋_GB2312" w:hAnsi="Times New Roman" w:hint="eastAsia"/>
          <w:b/>
          <w:sz w:val="32"/>
          <w:szCs w:val="32"/>
          <w:shd w:val="clear" w:color="auto" w:fill="FFFFFF"/>
        </w:rPr>
        <w:t>毕业与结业</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第四十九条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学生在规定学习年限内，德育、体育（包括体质健康标准测试）均合格，修完专业人才培养方案规定的课程，修得专业人才培养方案规定的总学分，准予毕业。</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毕业资格审定及毕业证书发放分别在每年</w:t>
      </w: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月和</w:t>
      </w:r>
      <w:r w:rsidRPr="00692E1F">
        <w:rPr>
          <w:rFonts w:ascii="仿宋_GB2312" w:eastAsia="仿宋_GB2312" w:hAnsi="宋体" w:cs="宋体"/>
          <w:kern w:val="0"/>
          <w:sz w:val="32"/>
          <w:szCs w:val="32"/>
        </w:rPr>
        <w:t>6</w:t>
      </w:r>
      <w:r w:rsidRPr="00692E1F">
        <w:rPr>
          <w:rFonts w:ascii="仿宋_GB2312" w:eastAsia="仿宋_GB2312" w:hAnsi="宋体" w:cs="宋体" w:hint="eastAsia"/>
          <w:kern w:val="0"/>
          <w:sz w:val="32"/>
          <w:szCs w:val="32"/>
        </w:rPr>
        <w:t>月各办理一次。学生应于毕业当学期提出申请，经学生所在分院初审，教务处复审，报院长办公会议批准，对符合毕业条件者，颁发毕业证书。</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按照《绍兴文理学院元培学院学士学位授予工作实施细则》的有关规定，对于符合学位授予条件的学生，授予学士学位，颁发学位证书。</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第五十条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学生在规定学习年限内，已修完专业人才培养方案规定的课程，但所修得的课程学分未达到专业人才培养方案规定的总学分（普通本科专业学生缺少</w:t>
      </w:r>
      <w:r w:rsidRPr="00692E1F">
        <w:rPr>
          <w:rFonts w:ascii="仿宋_GB2312" w:eastAsia="仿宋_GB2312" w:hAnsi="宋体" w:cs="宋体"/>
          <w:kern w:val="0"/>
          <w:sz w:val="32"/>
          <w:szCs w:val="32"/>
        </w:rPr>
        <w:t>35</w:t>
      </w:r>
      <w:r w:rsidRPr="00692E1F">
        <w:rPr>
          <w:rFonts w:ascii="仿宋_GB2312" w:eastAsia="仿宋_GB2312" w:hAnsi="宋体" w:cs="宋体" w:hint="eastAsia"/>
          <w:kern w:val="0"/>
          <w:sz w:val="32"/>
          <w:szCs w:val="32"/>
        </w:rPr>
        <w:t>学分以下，专升本专业学生缺少</w:t>
      </w:r>
      <w:r w:rsidRPr="00692E1F">
        <w:rPr>
          <w:rFonts w:ascii="仿宋_GB2312" w:eastAsia="仿宋_GB2312" w:hAnsi="宋体" w:cs="宋体"/>
          <w:kern w:val="0"/>
          <w:sz w:val="32"/>
          <w:szCs w:val="32"/>
        </w:rPr>
        <w:t>20</w:t>
      </w:r>
      <w:r w:rsidRPr="00692E1F">
        <w:rPr>
          <w:rFonts w:ascii="仿宋_GB2312" w:eastAsia="仿宋_GB2312" w:hAnsi="宋体" w:cs="宋体" w:hint="eastAsia"/>
          <w:kern w:val="0"/>
          <w:sz w:val="32"/>
          <w:szCs w:val="32"/>
        </w:rPr>
        <w:t>学分以下），准予结业，发给结业证书。</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结业学生未取得学分的课程，可在结业后至最长学习年限内的每学期第一周申请返校参加课程重修。达到毕业要求者可提出申请，经学生所在分院初审，教务处复审，报院长办公会议批准，准予毕业，收回结业证书，发给毕业证书。毕业时间按发证日期填写。</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第五十一条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学生在校学习满一年及以上而中途退学，或者在规定学习年限内，已修完专业人才培养方案规定的课程，但所修得的课程学分未达到专业人才培养方案规定的总学分（普通本科专业学生缺少</w:t>
      </w:r>
      <w:r w:rsidRPr="00692E1F">
        <w:rPr>
          <w:rFonts w:ascii="仿宋_GB2312" w:eastAsia="仿宋_GB2312" w:hAnsi="宋体" w:cs="宋体"/>
          <w:kern w:val="0"/>
          <w:sz w:val="32"/>
          <w:szCs w:val="32"/>
        </w:rPr>
        <w:t>35</w:t>
      </w:r>
      <w:r w:rsidRPr="00692E1F">
        <w:rPr>
          <w:rFonts w:ascii="仿宋_GB2312" w:eastAsia="仿宋_GB2312" w:hAnsi="宋体" w:cs="宋体" w:hint="eastAsia"/>
          <w:kern w:val="0"/>
          <w:sz w:val="32"/>
          <w:szCs w:val="32"/>
        </w:rPr>
        <w:t>学分及以上，专升本专业学生缺少</w:t>
      </w:r>
      <w:r w:rsidRPr="00692E1F">
        <w:rPr>
          <w:rFonts w:ascii="仿宋_GB2312" w:eastAsia="仿宋_GB2312" w:hAnsi="宋体" w:cs="宋体"/>
          <w:kern w:val="0"/>
          <w:sz w:val="32"/>
          <w:szCs w:val="32"/>
        </w:rPr>
        <w:t>20</w:t>
      </w:r>
      <w:r w:rsidRPr="00692E1F">
        <w:rPr>
          <w:rFonts w:ascii="仿宋_GB2312" w:eastAsia="仿宋_GB2312" w:hAnsi="宋体" w:cs="宋体" w:hint="eastAsia"/>
          <w:kern w:val="0"/>
          <w:sz w:val="32"/>
          <w:szCs w:val="32"/>
        </w:rPr>
        <w:t>学分及以上），作肄业处理，发给肄业证书；学生在校学习不满一年的，出具写实性学习证明。</w:t>
      </w:r>
    </w:p>
    <w:p w:rsidR="000859CB" w:rsidRDefault="000859CB" w:rsidP="008849D0">
      <w:pPr>
        <w:adjustRightInd w:val="0"/>
        <w:snapToGrid w:val="0"/>
        <w:spacing w:line="440" w:lineRule="exact"/>
        <w:ind w:firstLineChars="200" w:firstLine="31680"/>
        <w:rPr>
          <w:rFonts w:ascii="Times New Roman" w:hAnsi="Times New Roman"/>
          <w:sz w:val="24"/>
          <w:shd w:val="clear" w:color="auto" w:fill="FFFFFF"/>
        </w:rPr>
      </w:pPr>
    </w:p>
    <w:p w:rsidR="000859CB" w:rsidRPr="00692E1F" w:rsidRDefault="000859CB">
      <w:pPr>
        <w:adjustRightInd w:val="0"/>
        <w:snapToGrid w:val="0"/>
        <w:spacing w:line="440" w:lineRule="exact"/>
        <w:jc w:val="center"/>
        <w:rPr>
          <w:rFonts w:ascii="仿宋_GB2312" w:eastAsia="仿宋_GB2312" w:hAnsi="Times New Roman"/>
          <w:b/>
          <w:sz w:val="32"/>
          <w:szCs w:val="32"/>
          <w:shd w:val="clear" w:color="auto" w:fill="FFFFFF"/>
        </w:rPr>
      </w:pPr>
      <w:r w:rsidRPr="00692E1F">
        <w:rPr>
          <w:rFonts w:ascii="仿宋_GB2312" w:eastAsia="仿宋_GB2312" w:hAnsi="Times New Roman" w:hint="eastAsia"/>
          <w:b/>
          <w:sz w:val="32"/>
          <w:szCs w:val="32"/>
          <w:shd w:val="clear" w:color="auto" w:fill="FFFFFF"/>
        </w:rPr>
        <w:t>第十章学业证书管理</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第五十二条　学院严格按照招生时确定的办学类型和学习形式，以及学生招生录取时填报的个人信息，填写、颁发学历证书、学位证书及其他学业证书。</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学生在校期间变更姓名、出生日期等证书需填写的个人信息的，必须提出申请，并提供有法定效力的相应证明文件，经学院审查核实后方可变更。</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第五十三条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学院严格执行高等教育学历证书电子注册管理制度，按相关规定及时完成学生学籍学历电子注册。</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学生应按学院规定及时核对本人各种电子注册信息。信息有误的，须及时向所在分院反馈，逾期未反馈的，后果自负。</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学生在校期间发生的各类学籍异动（包括转专业、转学、休学、复学、退学等）均记入学生档案，并上报省教育厅。</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第五十四条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对完成本专业学业同时辅修其他专业并达到该专业辅修要求的学生，学院发给辅修专业证书。</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第五十五条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对违反国家招生规定取得入学资格或者学籍的，学院取消其学籍，不得发给学历证书、学位证书；已发的学历证书、学位证书，学院依法予以撤销。对以作弊、剽窃、抄袭等学术不端行为或者其他不正当手段获得学历证书、学位证书的，学院依法予以撤销。</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被撤销的学历证书、学位证书已注册的，学院予以注销并报教育行政部门宣布无效。</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第五十六条　学历证书和学位证书不予补发。证书遗失或者损坏，需登报声明，经本人申请，学院核实后出具相应的证明书。证明书与原证书具有同等效力。</w:t>
      </w:r>
    </w:p>
    <w:p w:rsidR="000859CB" w:rsidRDefault="000859CB">
      <w:pPr>
        <w:adjustRightInd w:val="0"/>
        <w:snapToGrid w:val="0"/>
        <w:spacing w:line="440" w:lineRule="exact"/>
        <w:rPr>
          <w:rFonts w:ascii="Times New Roman" w:hAnsi="Times New Roman"/>
          <w:sz w:val="24"/>
          <w:shd w:val="clear" w:color="auto" w:fill="FFFFFF"/>
        </w:rPr>
      </w:pPr>
    </w:p>
    <w:p w:rsidR="000859CB" w:rsidRPr="00692E1F" w:rsidRDefault="000859CB">
      <w:pPr>
        <w:adjustRightInd w:val="0"/>
        <w:snapToGrid w:val="0"/>
        <w:spacing w:line="440" w:lineRule="exact"/>
        <w:jc w:val="center"/>
        <w:rPr>
          <w:rFonts w:ascii="仿宋_GB2312" w:eastAsia="仿宋_GB2312" w:hAnsi="Times New Roman"/>
          <w:b/>
          <w:sz w:val="32"/>
          <w:szCs w:val="32"/>
          <w:shd w:val="clear" w:color="auto" w:fill="FFFFFF"/>
        </w:rPr>
      </w:pPr>
      <w:r w:rsidRPr="00692E1F">
        <w:rPr>
          <w:rFonts w:ascii="仿宋_GB2312" w:eastAsia="仿宋_GB2312" w:hAnsi="Times New Roman" w:hint="eastAsia"/>
          <w:b/>
          <w:sz w:val="32"/>
          <w:szCs w:val="32"/>
          <w:shd w:val="clear" w:color="auto" w:fill="FFFFFF"/>
        </w:rPr>
        <w:t>第十一章附则</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第五十七条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本规定由教务处负责解释。</w:t>
      </w:r>
    </w:p>
    <w:p w:rsidR="000859CB" w:rsidRPr="00692E1F" w:rsidRDefault="000859CB" w:rsidP="008849D0">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第五十八条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本规定自</w:t>
      </w:r>
      <w:r w:rsidRPr="00692E1F">
        <w:rPr>
          <w:rFonts w:ascii="仿宋_GB2312" w:eastAsia="仿宋_GB2312" w:hAnsi="宋体" w:cs="宋体"/>
          <w:kern w:val="0"/>
          <w:sz w:val="32"/>
          <w:szCs w:val="32"/>
        </w:rPr>
        <w:t>2017</w:t>
      </w:r>
      <w:r w:rsidRPr="00692E1F">
        <w:rPr>
          <w:rFonts w:ascii="仿宋_GB2312" w:eastAsia="仿宋_GB2312" w:hAnsi="宋体" w:cs="宋体" w:hint="eastAsia"/>
          <w:kern w:val="0"/>
          <w:sz w:val="32"/>
          <w:szCs w:val="32"/>
        </w:rPr>
        <w:t>年</w:t>
      </w:r>
      <w:r w:rsidRPr="00692E1F">
        <w:rPr>
          <w:rFonts w:ascii="仿宋_GB2312" w:eastAsia="仿宋_GB2312" w:hAnsi="宋体" w:cs="宋体"/>
          <w:kern w:val="0"/>
          <w:sz w:val="32"/>
          <w:szCs w:val="32"/>
        </w:rPr>
        <w:t>9</w:t>
      </w:r>
      <w:r w:rsidRPr="00692E1F">
        <w:rPr>
          <w:rFonts w:ascii="仿宋_GB2312" w:eastAsia="仿宋_GB2312" w:hAnsi="宋体" w:cs="宋体" w:hint="eastAsia"/>
          <w:kern w:val="0"/>
          <w:sz w:val="32"/>
          <w:szCs w:val="32"/>
        </w:rPr>
        <w:t>月</w:t>
      </w: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日起实施。原《绍兴文理学院元培学院学生学籍管理规定》同时废止。学院其他有关文件与本规定不一致的，以本规定为准。</w:t>
      </w:r>
    </w:p>
    <w:p w:rsidR="000859CB" w:rsidRDefault="000859CB" w:rsidP="00F87CCB">
      <w:pPr>
        <w:adjustRightInd w:val="0"/>
        <w:snapToGrid w:val="0"/>
        <w:spacing w:line="440" w:lineRule="exact"/>
        <w:ind w:firstLineChars="200" w:firstLine="31680"/>
        <w:rPr>
          <w:rFonts w:ascii="宋体" w:cs="宋体"/>
          <w:sz w:val="30"/>
          <w:szCs w:val="30"/>
        </w:rPr>
      </w:pPr>
    </w:p>
    <w:sectPr w:rsidR="000859CB" w:rsidSect="00640C81">
      <w:footerReference w:type="even" r:id="rId6"/>
      <w:footerReference w:type="default" r:id="rId7"/>
      <w:pgSz w:w="11906" w:h="16838"/>
      <w:pgMar w:top="1440" w:right="1361" w:bottom="1440" w:left="1361"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59CB" w:rsidRDefault="000859CB" w:rsidP="00640C81">
      <w:r>
        <w:separator/>
      </w:r>
    </w:p>
  </w:endnote>
  <w:endnote w:type="continuationSeparator" w:id="1">
    <w:p w:rsidR="000859CB" w:rsidRDefault="000859CB" w:rsidP="00640C8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9CB" w:rsidRDefault="000859CB">
    <w:pPr>
      <w:pStyle w:val="Footer"/>
      <w:framePr w:wrap="around" w:vAnchor="text" w:hAnchor="margin" w:xAlign="outside" w:y="1"/>
      <w:rPr>
        <w:rStyle w:val="PageNumber"/>
        <w:rFonts w:ascii="宋体"/>
        <w:sz w:val="28"/>
        <w:szCs w:val="28"/>
      </w:rPr>
    </w:pPr>
    <w:r>
      <w:rPr>
        <w:rStyle w:val="PageNumber"/>
        <w:rFonts w:ascii="宋体" w:hAnsi="宋体"/>
        <w:sz w:val="28"/>
        <w:szCs w:val="28"/>
      </w:rPr>
      <w:fldChar w:fldCharType="begin"/>
    </w:r>
    <w:r>
      <w:rPr>
        <w:rStyle w:val="PageNumber"/>
        <w:rFonts w:ascii="宋体" w:hAnsi="宋体"/>
        <w:sz w:val="28"/>
        <w:szCs w:val="28"/>
      </w:rPr>
      <w:instrText xml:space="preserve">PAGE  </w:instrText>
    </w:r>
    <w:r>
      <w:rPr>
        <w:rStyle w:val="PageNumber"/>
        <w:rFonts w:ascii="宋体" w:hAnsi="宋体"/>
        <w:sz w:val="28"/>
        <w:szCs w:val="28"/>
      </w:rPr>
      <w:fldChar w:fldCharType="separate"/>
    </w:r>
    <w:r>
      <w:rPr>
        <w:rStyle w:val="PageNumber"/>
        <w:rFonts w:ascii="宋体" w:hAnsi="宋体"/>
        <w:noProof/>
        <w:sz w:val="28"/>
        <w:szCs w:val="28"/>
      </w:rPr>
      <w:t>- 12 -</w:t>
    </w:r>
    <w:r>
      <w:rPr>
        <w:rStyle w:val="PageNumber"/>
        <w:rFonts w:ascii="宋体" w:hAnsi="宋体"/>
        <w:sz w:val="28"/>
        <w:szCs w:val="28"/>
      </w:rPr>
      <w:fldChar w:fldCharType="end"/>
    </w:r>
  </w:p>
  <w:p w:rsidR="000859CB" w:rsidRDefault="000859CB">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9CB" w:rsidRDefault="000859CB">
    <w:pPr>
      <w:pStyle w:val="Footer"/>
      <w:framePr w:wrap="around" w:vAnchor="text" w:hAnchor="margin" w:xAlign="outside" w:y="1"/>
      <w:rPr>
        <w:rStyle w:val="PageNumber"/>
        <w:rFonts w:ascii="宋体"/>
        <w:sz w:val="28"/>
        <w:szCs w:val="28"/>
      </w:rPr>
    </w:pPr>
    <w:r>
      <w:rPr>
        <w:rStyle w:val="PageNumber"/>
        <w:rFonts w:ascii="宋体" w:hAnsi="宋体"/>
        <w:sz w:val="28"/>
        <w:szCs w:val="28"/>
      </w:rPr>
      <w:fldChar w:fldCharType="begin"/>
    </w:r>
    <w:r>
      <w:rPr>
        <w:rStyle w:val="PageNumber"/>
        <w:rFonts w:ascii="宋体" w:hAnsi="宋体"/>
        <w:sz w:val="28"/>
        <w:szCs w:val="28"/>
      </w:rPr>
      <w:instrText xml:space="preserve">PAGE  </w:instrText>
    </w:r>
    <w:r>
      <w:rPr>
        <w:rStyle w:val="PageNumber"/>
        <w:rFonts w:ascii="宋体" w:hAnsi="宋体"/>
        <w:sz w:val="28"/>
        <w:szCs w:val="28"/>
      </w:rPr>
      <w:fldChar w:fldCharType="separate"/>
    </w:r>
    <w:r>
      <w:rPr>
        <w:rStyle w:val="PageNumber"/>
        <w:rFonts w:ascii="宋体" w:hAnsi="宋体"/>
        <w:noProof/>
        <w:sz w:val="28"/>
        <w:szCs w:val="28"/>
      </w:rPr>
      <w:t>- 11 -</w:t>
    </w:r>
    <w:r>
      <w:rPr>
        <w:rStyle w:val="PageNumber"/>
        <w:rFonts w:ascii="宋体" w:hAnsi="宋体"/>
        <w:sz w:val="28"/>
        <w:szCs w:val="28"/>
      </w:rPr>
      <w:fldChar w:fldCharType="end"/>
    </w:r>
  </w:p>
  <w:p w:rsidR="000859CB" w:rsidRDefault="000859CB">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59CB" w:rsidRDefault="000859CB" w:rsidP="00640C81">
      <w:r>
        <w:separator/>
      </w:r>
    </w:p>
  </w:footnote>
  <w:footnote w:type="continuationSeparator" w:id="1">
    <w:p w:rsidR="000859CB" w:rsidRDefault="000859CB" w:rsidP="00640C8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A2A7903"/>
    <w:rsid w:val="00000E84"/>
    <w:rsid w:val="0001466A"/>
    <w:rsid w:val="00027D5D"/>
    <w:rsid w:val="00044E38"/>
    <w:rsid w:val="00051EAF"/>
    <w:rsid w:val="000558C9"/>
    <w:rsid w:val="00061DCE"/>
    <w:rsid w:val="00065991"/>
    <w:rsid w:val="00071F96"/>
    <w:rsid w:val="00074F28"/>
    <w:rsid w:val="000859CB"/>
    <w:rsid w:val="000A4D51"/>
    <w:rsid w:val="000B7152"/>
    <w:rsid w:val="000D7415"/>
    <w:rsid w:val="000F05B2"/>
    <w:rsid w:val="000F3B4E"/>
    <w:rsid w:val="000F47CE"/>
    <w:rsid w:val="00104D66"/>
    <w:rsid w:val="00123443"/>
    <w:rsid w:val="00146EFE"/>
    <w:rsid w:val="001813AC"/>
    <w:rsid w:val="00184753"/>
    <w:rsid w:val="001E4D2D"/>
    <w:rsid w:val="001F3E10"/>
    <w:rsid w:val="00204253"/>
    <w:rsid w:val="00205C1D"/>
    <w:rsid w:val="002075DD"/>
    <w:rsid w:val="00217274"/>
    <w:rsid w:val="00245F1B"/>
    <w:rsid w:val="00260685"/>
    <w:rsid w:val="002711B1"/>
    <w:rsid w:val="0028071E"/>
    <w:rsid w:val="00281155"/>
    <w:rsid w:val="002B1ADF"/>
    <w:rsid w:val="002B38F7"/>
    <w:rsid w:val="002C02E2"/>
    <w:rsid w:val="002D41A4"/>
    <w:rsid w:val="002E050C"/>
    <w:rsid w:val="002F229B"/>
    <w:rsid w:val="00315507"/>
    <w:rsid w:val="00323906"/>
    <w:rsid w:val="00323B81"/>
    <w:rsid w:val="003258A3"/>
    <w:rsid w:val="00371809"/>
    <w:rsid w:val="00372EF1"/>
    <w:rsid w:val="00380E6E"/>
    <w:rsid w:val="00384129"/>
    <w:rsid w:val="003948AD"/>
    <w:rsid w:val="00397A85"/>
    <w:rsid w:val="003A3FC9"/>
    <w:rsid w:val="003D7E84"/>
    <w:rsid w:val="003F2D53"/>
    <w:rsid w:val="00422CEE"/>
    <w:rsid w:val="00427BFA"/>
    <w:rsid w:val="004355B8"/>
    <w:rsid w:val="004523F3"/>
    <w:rsid w:val="004603F6"/>
    <w:rsid w:val="004714BF"/>
    <w:rsid w:val="0048180F"/>
    <w:rsid w:val="004A4F8B"/>
    <w:rsid w:val="004D1F13"/>
    <w:rsid w:val="004E6360"/>
    <w:rsid w:val="00511996"/>
    <w:rsid w:val="00515F6D"/>
    <w:rsid w:val="005373D1"/>
    <w:rsid w:val="0054055F"/>
    <w:rsid w:val="00550344"/>
    <w:rsid w:val="00560397"/>
    <w:rsid w:val="005661BC"/>
    <w:rsid w:val="00596313"/>
    <w:rsid w:val="005C72EC"/>
    <w:rsid w:val="005E3E50"/>
    <w:rsid w:val="005F03E8"/>
    <w:rsid w:val="00601C3D"/>
    <w:rsid w:val="00603A98"/>
    <w:rsid w:val="0061265B"/>
    <w:rsid w:val="00616554"/>
    <w:rsid w:val="00616DE2"/>
    <w:rsid w:val="00620C98"/>
    <w:rsid w:val="00622E20"/>
    <w:rsid w:val="00623D6F"/>
    <w:rsid w:val="00636A3A"/>
    <w:rsid w:val="00640255"/>
    <w:rsid w:val="00640C81"/>
    <w:rsid w:val="006618DB"/>
    <w:rsid w:val="006828DD"/>
    <w:rsid w:val="00684419"/>
    <w:rsid w:val="006853BC"/>
    <w:rsid w:val="00692E1F"/>
    <w:rsid w:val="00694CCD"/>
    <w:rsid w:val="006A228A"/>
    <w:rsid w:val="006A3943"/>
    <w:rsid w:val="006E29B9"/>
    <w:rsid w:val="00725276"/>
    <w:rsid w:val="00735B13"/>
    <w:rsid w:val="00735C1E"/>
    <w:rsid w:val="00746068"/>
    <w:rsid w:val="00766719"/>
    <w:rsid w:val="007973AF"/>
    <w:rsid w:val="007A1553"/>
    <w:rsid w:val="007A28D9"/>
    <w:rsid w:val="007C4CD8"/>
    <w:rsid w:val="007D12C4"/>
    <w:rsid w:val="007E2124"/>
    <w:rsid w:val="007F43BE"/>
    <w:rsid w:val="00805603"/>
    <w:rsid w:val="008223B3"/>
    <w:rsid w:val="008340B3"/>
    <w:rsid w:val="0085240C"/>
    <w:rsid w:val="0086018E"/>
    <w:rsid w:val="0086746F"/>
    <w:rsid w:val="00872353"/>
    <w:rsid w:val="00872D7A"/>
    <w:rsid w:val="00880759"/>
    <w:rsid w:val="008849D0"/>
    <w:rsid w:val="008909EF"/>
    <w:rsid w:val="008B375E"/>
    <w:rsid w:val="008C4251"/>
    <w:rsid w:val="008E0ED4"/>
    <w:rsid w:val="008E1295"/>
    <w:rsid w:val="009005BC"/>
    <w:rsid w:val="00902033"/>
    <w:rsid w:val="0091330E"/>
    <w:rsid w:val="00914FD5"/>
    <w:rsid w:val="009361F3"/>
    <w:rsid w:val="00951357"/>
    <w:rsid w:val="0097283B"/>
    <w:rsid w:val="009A5222"/>
    <w:rsid w:val="009A594F"/>
    <w:rsid w:val="009B6483"/>
    <w:rsid w:val="009B668E"/>
    <w:rsid w:val="009C0CAC"/>
    <w:rsid w:val="009C7BDE"/>
    <w:rsid w:val="009C7BE3"/>
    <w:rsid w:val="009E2F83"/>
    <w:rsid w:val="009E7B94"/>
    <w:rsid w:val="009F42F3"/>
    <w:rsid w:val="009F552E"/>
    <w:rsid w:val="00A2376C"/>
    <w:rsid w:val="00A24A46"/>
    <w:rsid w:val="00A251B7"/>
    <w:rsid w:val="00A32A5B"/>
    <w:rsid w:val="00A3671A"/>
    <w:rsid w:val="00A37A34"/>
    <w:rsid w:val="00A5680F"/>
    <w:rsid w:val="00A83471"/>
    <w:rsid w:val="00AB59F0"/>
    <w:rsid w:val="00AB6DC9"/>
    <w:rsid w:val="00AC3B0B"/>
    <w:rsid w:val="00AE2D75"/>
    <w:rsid w:val="00B335B7"/>
    <w:rsid w:val="00B37EA9"/>
    <w:rsid w:val="00B64D0A"/>
    <w:rsid w:val="00B76401"/>
    <w:rsid w:val="00B83CD6"/>
    <w:rsid w:val="00BA648F"/>
    <w:rsid w:val="00BC4AD2"/>
    <w:rsid w:val="00BF4D78"/>
    <w:rsid w:val="00BF7E8F"/>
    <w:rsid w:val="00C01AF5"/>
    <w:rsid w:val="00C05E36"/>
    <w:rsid w:val="00C10A76"/>
    <w:rsid w:val="00C32C4B"/>
    <w:rsid w:val="00C36188"/>
    <w:rsid w:val="00C60EED"/>
    <w:rsid w:val="00C72AD3"/>
    <w:rsid w:val="00C9596A"/>
    <w:rsid w:val="00CA0041"/>
    <w:rsid w:val="00CA4F2E"/>
    <w:rsid w:val="00CB5EDC"/>
    <w:rsid w:val="00CC5F87"/>
    <w:rsid w:val="00CD608D"/>
    <w:rsid w:val="00CF3284"/>
    <w:rsid w:val="00D2790E"/>
    <w:rsid w:val="00D435E7"/>
    <w:rsid w:val="00D80DF3"/>
    <w:rsid w:val="00D94991"/>
    <w:rsid w:val="00DE4106"/>
    <w:rsid w:val="00E03568"/>
    <w:rsid w:val="00E46EA0"/>
    <w:rsid w:val="00E51A75"/>
    <w:rsid w:val="00E61B4C"/>
    <w:rsid w:val="00E944F3"/>
    <w:rsid w:val="00EA0384"/>
    <w:rsid w:val="00ED7E2B"/>
    <w:rsid w:val="00EF17ED"/>
    <w:rsid w:val="00EF38A2"/>
    <w:rsid w:val="00F00141"/>
    <w:rsid w:val="00F13D6F"/>
    <w:rsid w:val="00F13FEE"/>
    <w:rsid w:val="00F351D8"/>
    <w:rsid w:val="00F51EF7"/>
    <w:rsid w:val="00F54CEB"/>
    <w:rsid w:val="00F72B44"/>
    <w:rsid w:val="00F8596D"/>
    <w:rsid w:val="00F87CCB"/>
    <w:rsid w:val="00FA080A"/>
    <w:rsid w:val="00FA1D3B"/>
    <w:rsid w:val="00FB1B91"/>
    <w:rsid w:val="00FD2CD6"/>
    <w:rsid w:val="00FF45CE"/>
    <w:rsid w:val="07171164"/>
    <w:rsid w:val="0AF251FD"/>
    <w:rsid w:val="0B054718"/>
    <w:rsid w:val="0B184CE9"/>
    <w:rsid w:val="0B634C4B"/>
    <w:rsid w:val="0D1C4719"/>
    <w:rsid w:val="0D7074EE"/>
    <w:rsid w:val="0DC37655"/>
    <w:rsid w:val="0F4B5F09"/>
    <w:rsid w:val="13DC57B2"/>
    <w:rsid w:val="148C7DE9"/>
    <w:rsid w:val="1873043B"/>
    <w:rsid w:val="1C08430B"/>
    <w:rsid w:val="1CB3758C"/>
    <w:rsid w:val="208C340C"/>
    <w:rsid w:val="2F967225"/>
    <w:rsid w:val="31CE65F9"/>
    <w:rsid w:val="32A21720"/>
    <w:rsid w:val="32B53DEF"/>
    <w:rsid w:val="342524B3"/>
    <w:rsid w:val="358D30BE"/>
    <w:rsid w:val="38565AF2"/>
    <w:rsid w:val="38FC5EF6"/>
    <w:rsid w:val="3CA3181A"/>
    <w:rsid w:val="3F865D99"/>
    <w:rsid w:val="41BF58E1"/>
    <w:rsid w:val="42C645D1"/>
    <w:rsid w:val="438163CD"/>
    <w:rsid w:val="447C16B5"/>
    <w:rsid w:val="45E722F9"/>
    <w:rsid w:val="4A2A7903"/>
    <w:rsid w:val="4BD9658E"/>
    <w:rsid w:val="4C77483D"/>
    <w:rsid w:val="4E133834"/>
    <w:rsid w:val="501E0780"/>
    <w:rsid w:val="54F829AE"/>
    <w:rsid w:val="55973AF9"/>
    <w:rsid w:val="5D3543FB"/>
    <w:rsid w:val="5D7A196C"/>
    <w:rsid w:val="5E212CA9"/>
    <w:rsid w:val="5FF25A25"/>
    <w:rsid w:val="637C6E85"/>
    <w:rsid w:val="67CE327B"/>
    <w:rsid w:val="6BB77424"/>
    <w:rsid w:val="6F203E41"/>
    <w:rsid w:val="7026703C"/>
    <w:rsid w:val="704915C5"/>
    <w:rsid w:val="71D65B6C"/>
    <w:rsid w:val="751C7582"/>
    <w:rsid w:val="76182881"/>
    <w:rsid w:val="76E16327"/>
    <w:rsid w:val="778A34A7"/>
    <w:rsid w:val="783375C8"/>
    <w:rsid w:val="787825C5"/>
    <w:rsid w:val="793A2379"/>
    <w:rsid w:val="7AE82B69"/>
    <w:rsid w:val="7B2F283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40C81"/>
    <w:pPr>
      <w:widowControl w:val="0"/>
      <w:jc w:val="both"/>
    </w:pPr>
    <w:rPr>
      <w:rFonts w:cs="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rsid w:val="00640C81"/>
    <w:pPr>
      <w:widowControl/>
      <w:spacing w:before="100" w:beforeAutospacing="1" w:after="100" w:afterAutospacing="1"/>
      <w:jc w:val="left"/>
    </w:pPr>
    <w:rPr>
      <w:rFonts w:ascii="宋体" w:hAnsi="宋体" w:cs="宋体"/>
      <w:kern w:val="0"/>
      <w:sz w:val="24"/>
    </w:rPr>
  </w:style>
  <w:style w:type="character" w:customStyle="1" w:styleId="CommentTextChar">
    <w:name w:val="Comment Text Char"/>
    <w:basedOn w:val="DefaultParagraphFont"/>
    <w:link w:val="CommentText"/>
    <w:uiPriority w:val="99"/>
    <w:semiHidden/>
    <w:locked/>
    <w:rsid w:val="00640C81"/>
    <w:rPr>
      <w:rFonts w:cs="Times New Roman"/>
      <w:sz w:val="24"/>
      <w:szCs w:val="24"/>
    </w:rPr>
  </w:style>
  <w:style w:type="paragraph" w:styleId="CommentSubject">
    <w:name w:val="annotation subject"/>
    <w:basedOn w:val="CommentText"/>
    <w:next w:val="CommentText"/>
    <w:link w:val="CommentSubjectChar"/>
    <w:uiPriority w:val="99"/>
    <w:semiHidden/>
    <w:rsid w:val="00640C81"/>
    <w:pPr>
      <w:widowControl w:val="0"/>
      <w:spacing w:before="0" w:beforeAutospacing="0" w:after="0" w:afterAutospacing="0"/>
    </w:pPr>
    <w:rPr>
      <w:rFonts w:ascii="Calibri" w:hAnsi="Calibri" w:cs="Times New Roman"/>
      <w:b/>
      <w:bCs/>
      <w:kern w:val="2"/>
      <w:sz w:val="21"/>
    </w:rPr>
  </w:style>
  <w:style w:type="character" w:customStyle="1" w:styleId="CommentSubjectChar">
    <w:name w:val="Comment Subject Char"/>
    <w:basedOn w:val="CommentTextChar"/>
    <w:link w:val="CommentSubject"/>
    <w:uiPriority w:val="99"/>
    <w:semiHidden/>
    <w:locked/>
    <w:rsid w:val="00640C81"/>
    <w:rPr>
      <w:b/>
      <w:bCs/>
    </w:rPr>
  </w:style>
  <w:style w:type="paragraph" w:styleId="BodyText">
    <w:name w:val="Body Text"/>
    <w:basedOn w:val="Normal"/>
    <w:link w:val="BodyTextChar"/>
    <w:uiPriority w:val="99"/>
    <w:rsid w:val="00640C81"/>
    <w:rPr>
      <w:rFonts w:ascii="Times New Roman" w:hAnsi="Times New Roman"/>
      <w:spacing w:val="-6"/>
      <w:kern w:val="10"/>
      <w:sz w:val="32"/>
      <w:szCs w:val="32"/>
    </w:rPr>
  </w:style>
  <w:style w:type="character" w:customStyle="1" w:styleId="BodyTextChar">
    <w:name w:val="Body Text Char"/>
    <w:basedOn w:val="DefaultParagraphFont"/>
    <w:link w:val="BodyText"/>
    <w:uiPriority w:val="99"/>
    <w:semiHidden/>
    <w:locked/>
    <w:rsid w:val="00640C81"/>
    <w:rPr>
      <w:rFonts w:cs="Times New Roman"/>
      <w:sz w:val="24"/>
      <w:szCs w:val="24"/>
    </w:rPr>
  </w:style>
  <w:style w:type="paragraph" w:styleId="BalloonText">
    <w:name w:val="Balloon Text"/>
    <w:basedOn w:val="Normal"/>
    <w:link w:val="BalloonTextChar"/>
    <w:uiPriority w:val="99"/>
    <w:semiHidden/>
    <w:rsid w:val="00640C81"/>
    <w:rPr>
      <w:sz w:val="18"/>
      <w:szCs w:val="18"/>
    </w:rPr>
  </w:style>
  <w:style w:type="character" w:customStyle="1" w:styleId="BalloonTextChar">
    <w:name w:val="Balloon Text Char"/>
    <w:basedOn w:val="DefaultParagraphFont"/>
    <w:link w:val="BalloonText"/>
    <w:uiPriority w:val="99"/>
    <w:semiHidden/>
    <w:locked/>
    <w:rsid w:val="00640C81"/>
    <w:rPr>
      <w:rFonts w:cs="Times New Roman"/>
      <w:sz w:val="2"/>
    </w:rPr>
  </w:style>
  <w:style w:type="paragraph" w:styleId="Footer">
    <w:name w:val="footer"/>
    <w:basedOn w:val="Normal"/>
    <w:link w:val="FooterChar"/>
    <w:uiPriority w:val="99"/>
    <w:rsid w:val="00640C8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640C81"/>
    <w:rPr>
      <w:rFonts w:cs="Times New Roman"/>
      <w:sz w:val="18"/>
      <w:szCs w:val="18"/>
    </w:rPr>
  </w:style>
  <w:style w:type="paragraph" w:styleId="Header">
    <w:name w:val="header"/>
    <w:basedOn w:val="Normal"/>
    <w:link w:val="HeaderChar"/>
    <w:uiPriority w:val="99"/>
    <w:rsid w:val="00640C8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640C81"/>
    <w:rPr>
      <w:rFonts w:cs="Times New Roman"/>
      <w:sz w:val="18"/>
      <w:szCs w:val="18"/>
    </w:rPr>
  </w:style>
  <w:style w:type="character" w:styleId="PageNumber">
    <w:name w:val="page number"/>
    <w:basedOn w:val="DefaultParagraphFont"/>
    <w:uiPriority w:val="99"/>
    <w:rsid w:val="00640C81"/>
    <w:rPr>
      <w:rFonts w:cs="Times New Roman"/>
    </w:rPr>
  </w:style>
  <w:style w:type="character" w:styleId="CommentReference">
    <w:name w:val="annotation reference"/>
    <w:basedOn w:val="DefaultParagraphFont"/>
    <w:uiPriority w:val="99"/>
    <w:semiHidden/>
    <w:rsid w:val="00640C81"/>
    <w:rPr>
      <w:rFont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151</TotalTime>
  <Pages>12</Pages>
  <Words>1134</Words>
  <Characters>6464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绍兴文理学院元培学院学生学籍管理规定</dc:title>
  <dc:subject/>
  <dc:creator>Administrator</dc:creator>
  <cp:keywords/>
  <dc:description/>
  <cp:lastModifiedBy>微软用户</cp:lastModifiedBy>
  <cp:revision>13</cp:revision>
  <cp:lastPrinted>2017-07-24T09:36:00Z</cp:lastPrinted>
  <dcterms:created xsi:type="dcterms:W3CDTF">2017-08-10T07:39:00Z</dcterms:created>
  <dcterms:modified xsi:type="dcterms:W3CDTF">2017-09-20T08:08:00Z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