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jc w:val="center"/>
        <w:rPr>
          <w:rFonts w:hint="eastAsia" w:ascii="Times New Roman" w:hAnsi="Times New Roman" w:cs="Times New Roman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绍兴文理学院元培学院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jc w:val="center"/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关于制订</w:t>
      </w: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2018版专业人才培养方案的指导意见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jc w:val="center"/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（征求意见稿）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</w:rPr>
        <w:t>专业人才培养方案是体现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学院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</w:rPr>
        <w:t>办学指导思想、全面实现人才培养目标、保证人才培养质量的总体设计和实施计划，是组织与管理教育教学过程的纲领性文件，也是监控和评价教育教学质量的基本依据。为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更好地贯彻落实《绍兴文理学院元培学院关于“全程育人”理念下深化应用型建设的实施意见》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等文件精神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，深化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我院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应用型建设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，加强应用技术型人才培养。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</w:rPr>
        <w:t>经研究决定，对201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</w:rPr>
        <w:t>版专业人才培养方案的制订工作，提出如下指导意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见。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default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  <w:t>指导思想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全面贯彻落实党和国家的教育方针，遵循高等教育的发展规律，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以地方经济和社会发展需求为导向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以学生为中心，密切与行业企业合作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eastAsia="zh-CN"/>
        </w:rPr>
        <w:t>依照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专业认证要求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积极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吸纳近年来专业建设和教学改革的优秀成果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进一步明确人才培养目标，优化课程体系，加强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基础理论教育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，强化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应用能力培养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创新人才培养模式，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为学生提供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优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质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专业教育和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广阔的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个性发展空间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default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  <w:t>培养目标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培养具有良好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社会责任感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和人文素养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、具备扎实的专业知识和技能、具有较强的应用实践能力、创新创业能力和可持续发展能力的高素质应用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技术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型人才。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default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  <w:t>基本原则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坚持准确定位，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遵循质量标准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以产出为导向，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紧紧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围绕地方经济社会发展需求和学生特点，准确把握社会需求与人才培养目标的一致性，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</w:rPr>
        <w:t>遵循教学质量国家标准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eastAsia="zh-CN"/>
        </w:rPr>
        <w:t>，参照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“工程教育专业认证”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</w:rPr>
        <w:t>、行业准入等重要规范、标准和要求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kern w:val="0"/>
          <w:szCs w:val="21"/>
          <w:highlight w:val="none"/>
          <w:shd w:val="clear" w:color="auto" w:fill="auto"/>
        </w:rPr>
        <w:t>找准专业定位，明确人才培养目标</w:t>
      </w:r>
      <w:r>
        <w:rPr>
          <w:rFonts w:hint="default" w:ascii="Times New Roman" w:hAnsi="Times New Roman" w:cs="Times New Roman"/>
          <w:color w:val="auto"/>
          <w:kern w:val="0"/>
          <w:szCs w:val="21"/>
          <w:highlight w:val="none"/>
          <w:shd w:val="clear" w:color="auto" w:fill="auto"/>
          <w:lang w:eastAsia="zh-CN"/>
        </w:rPr>
        <w:t>和毕业要求，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eastAsia="zh-CN"/>
        </w:rPr>
        <w:t>实施整体优化，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实现人才培养通用标准与行业标准，课程内容与职业标准对接、教学过程与生产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实践的有效衔接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对接。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坚持强化实践，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注重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能力培养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以能力培养为核心，知识、能力和素质协调发展的培养模式，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/>
          <w:shd w:val="clear" w:color="auto" w:fill="auto"/>
          <w:lang w:val="en-US" w:eastAsia="zh-CN"/>
        </w:rPr>
        <w:t>着重发展学生的应用实践能力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u w:val="none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/>
          <w:shd w:val="clear" w:color="auto" w:fill="auto"/>
          <w:lang w:val="en-US" w:eastAsia="zh-CN"/>
        </w:rPr>
        <w:t>合理制定实践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教学方案，增强实践教学的实效性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丰富与专业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人才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培养密切相关的创新创业实践，注重将创新创业教育融入课程教学与实践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；</w:t>
      </w:r>
      <w:r>
        <w:rPr>
          <w:rFonts w:hint="default" w:ascii="Times New Roman" w:hAnsi="Times New Roman"/>
          <w:color w:val="auto"/>
          <w:highlight w:val="none"/>
          <w:shd w:val="clear" w:color="auto" w:fill="auto"/>
        </w:rPr>
        <w:t>加强学生自主学习能力培养</w:t>
      </w:r>
      <w:r>
        <w:rPr>
          <w:rFonts w:hint="default" w:ascii="Times New Roman" w:hAnsi="Times New Roman"/>
          <w:color w:val="auto"/>
          <w:highlight w:val="none"/>
          <w:shd w:val="clear" w:color="auto" w:fill="auto"/>
          <w:lang w:eastAsia="zh-CN"/>
        </w:rPr>
        <w:t>，把自主学习贯穿学生学习的全过程，</w:t>
      </w:r>
      <w:r>
        <w:rPr>
          <w:rFonts w:hint="eastAsia" w:ascii="Times New Roman" w:hAnsi="Times New Roman"/>
          <w:color w:val="auto"/>
          <w:highlight w:val="none"/>
          <w:shd w:val="clear" w:color="auto" w:fill="auto"/>
          <w:lang w:eastAsia="zh-CN"/>
        </w:rPr>
        <w:t>提升</w:t>
      </w:r>
      <w:r>
        <w:rPr>
          <w:rFonts w:hint="default" w:ascii="Times New Roman" w:hAnsi="Times New Roman"/>
          <w:color w:val="auto"/>
          <w:highlight w:val="none"/>
          <w:shd w:val="clear" w:color="auto" w:fill="auto"/>
          <w:lang w:eastAsia="zh-CN"/>
        </w:rPr>
        <w:t>学生可持续发展</w:t>
      </w:r>
      <w:r>
        <w:rPr>
          <w:rFonts w:hint="eastAsia" w:ascii="Times New Roman" w:hAnsi="Times New Roman"/>
          <w:color w:val="auto"/>
          <w:highlight w:val="none"/>
          <w:shd w:val="clear" w:color="auto" w:fill="auto"/>
          <w:lang w:eastAsia="zh-CN"/>
        </w:rPr>
        <w:t>能力</w:t>
      </w:r>
      <w:r>
        <w:rPr>
          <w:rFonts w:hint="default" w:ascii="Times New Roman" w:hAnsi="Times New Roman"/>
          <w:color w:val="auto"/>
          <w:highlight w:val="none"/>
          <w:shd w:val="clear" w:color="auto" w:fill="auto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坚持提高职业素养，促进个性发展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440" w:lineRule="exact"/>
        <w:ind w:right="0" w:rightChars="0" w:firstLine="480" w:firstLineChars="200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深入分析专业面向的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行业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职业，根据职业岗位职责、能力要求、可持续发展需要等设置课程，坚持通专结合，夯实基础，构建职业发展为导向，能力培养为主的课程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结构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体系。</w:t>
      </w:r>
      <w:bookmarkStart w:id="0" w:name="_GoBack"/>
      <w:bookmarkEnd w:id="0"/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秉持“因材施教”的教育理念，积极创造条件，不断扩大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优质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课程资源，加大选修课比重，开展课程的分层分类教学和专业方向的分流教学，强化学生的个性化培养。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坚持开放合作，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推进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协同育人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left"/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适应专业特点和社会发展需要，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鼓励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引入行业企业、政府等社会资源，与科研院所、行业企业开展联合培养，开展多种类型人才培养试点班，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建立产教融合、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校企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协同育人的人才培养机制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，提高人才培养质量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。积极吸收国际先进的教育理念，引进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国内外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优质教学资源，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进行多种形式的合作办学，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加强外语教学改革，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拓宽学生国际视野。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  <w:t>基本要求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核心课程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各专业依据教育部《普通高等学校本科专业目录》（2012年）要求，根据培养目标、毕业要求及在专业方面应具备的核心知识、能力和素质要求，设置专业核心课程，</w:t>
      </w: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4"/>
          <w:szCs w:val="24"/>
          <w:highlight w:val="none"/>
          <w:u w:val="none"/>
          <w:shd w:val="clear" w:color="auto" w:fill="auto"/>
        </w:rPr>
        <w:t>并进行重点建设。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专业核心课程一般为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～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门左右。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分层分类教学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因材施教，满足学生的不同需求，促进学生主动自主学习。不仅在通识课程中开展分层分类教学，鼓励各专业在专业课程中实施分层分类教学。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实践教学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</w:rPr>
        <w:t>实践教学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eastAsia="zh-CN"/>
        </w:rPr>
        <w:t>课程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</w:rPr>
        <w:t>包括各类实验、实训、学年论文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eastAsia="zh-CN"/>
        </w:rPr>
        <w:t>、课程设计、实习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</w:rPr>
        <w:t>及综合实践环节等。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eastAsia="zh-CN"/>
        </w:rPr>
        <w:t>各专业努力提高每个实践环节的效益，增强各个实践环节之间的有机联系，要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根据专业人才培养目标建立基本能力、专业能力和综合创新能力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三层次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四年不断线的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能力培养体系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学时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学分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学分计算的最小单位为0.5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课程教学以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16学时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计1学分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集中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进行的课程设计、野外实习、综合设计实验等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实践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教学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环节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每周计1学分。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u w:val="none"/>
          <w:shd w:val="clear" w:color="auto" w:fill="auto"/>
          <w:lang w:val="en-US" w:eastAsia="zh-CN"/>
        </w:rPr>
        <w:t>非集中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u w:val="none"/>
          <w:shd w:val="clear" w:color="auto" w:fill="auto"/>
          <w:lang w:val="en-US" w:eastAsia="zh-CN"/>
        </w:rPr>
        <w:t>进行的实习、见习等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u w:val="none"/>
          <w:shd w:val="clear" w:color="auto" w:fill="auto"/>
          <w:lang w:val="en-US" w:eastAsia="zh-CN"/>
        </w:rPr>
        <w:t>实践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u w:val="none"/>
          <w:shd w:val="clear" w:color="auto" w:fill="auto"/>
          <w:lang w:val="en-US" w:eastAsia="zh-CN"/>
        </w:rPr>
        <w:t>教学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u w:val="none"/>
          <w:shd w:val="clear" w:color="auto" w:fill="auto"/>
          <w:lang w:val="en-US" w:eastAsia="zh-CN"/>
        </w:rPr>
        <w:t>环节一般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u w:val="none"/>
          <w:shd w:val="clear" w:color="auto" w:fill="auto"/>
          <w:lang w:val="en-US" w:eastAsia="zh-CN"/>
        </w:rPr>
        <w:t>2周计1学分。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毕业学分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四年制本科专业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毕业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学分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：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理工农医艺类</w:t>
      </w:r>
      <w:r>
        <w:rPr>
          <w:rFonts w:hint="eastAsia" w:cs="宋体"/>
          <w:color w:val="auto"/>
          <w:kern w:val="0"/>
          <w:szCs w:val="21"/>
          <w:highlight w:val="none"/>
          <w:shd w:val="clear" w:color="auto" w:fill="auto"/>
          <w:lang w:eastAsia="zh-CN"/>
        </w:rPr>
        <w:t>为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shd w:val="clear" w:color="auto" w:fill="auto"/>
        </w:rPr>
        <w:t>1</w:t>
      </w:r>
      <w:r>
        <w:rPr>
          <w:rFonts w:hint="eastAsia" w:cs="宋体"/>
          <w:color w:val="auto"/>
          <w:kern w:val="0"/>
          <w:szCs w:val="21"/>
          <w:highlight w:val="none"/>
          <w:shd w:val="clear" w:color="auto" w:fill="auto"/>
          <w:lang w:val="en-US" w:eastAsia="zh-CN"/>
        </w:rPr>
        <w:t>75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shd w:val="clear" w:color="auto" w:fill="auto"/>
        </w:rPr>
        <w:t>-1</w:t>
      </w:r>
      <w:r>
        <w:rPr>
          <w:rFonts w:hint="eastAsia" w:cs="宋体"/>
          <w:color w:val="auto"/>
          <w:kern w:val="0"/>
          <w:szCs w:val="21"/>
          <w:highlight w:val="none"/>
          <w:shd w:val="clear" w:color="auto" w:fill="auto"/>
          <w:lang w:val="en-US" w:eastAsia="zh-CN"/>
        </w:rPr>
        <w:t>80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shd w:val="clear" w:color="auto" w:fill="auto"/>
        </w:rPr>
        <w:t>学分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，经管类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为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shd w:val="clear" w:color="auto" w:fill="auto"/>
        </w:rPr>
        <w:t>1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shd w:val="clear" w:color="auto" w:fill="auto"/>
          <w:lang w:val="en-US" w:eastAsia="zh-CN"/>
        </w:rPr>
        <w:t>6</w:t>
      </w:r>
      <w:r>
        <w:rPr>
          <w:rFonts w:hint="eastAsia" w:cs="宋体"/>
          <w:color w:val="auto"/>
          <w:kern w:val="0"/>
          <w:szCs w:val="21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shd w:val="clear" w:color="auto" w:fill="auto"/>
        </w:rPr>
        <w:t>-1</w:t>
      </w:r>
      <w:r>
        <w:rPr>
          <w:rFonts w:hint="eastAsia" w:cs="宋体"/>
          <w:color w:val="auto"/>
          <w:kern w:val="0"/>
          <w:szCs w:val="21"/>
          <w:highlight w:val="none"/>
          <w:shd w:val="clear" w:color="auto" w:fill="auto"/>
          <w:lang w:val="en-US" w:eastAsia="zh-CN"/>
        </w:rPr>
        <w:t>70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shd w:val="clear" w:color="auto" w:fill="auto"/>
        </w:rPr>
        <w:t>学分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，文科类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为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shd w:val="clear" w:color="auto" w:fill="auto"/>
        </w:rPr>
        <w:t>1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shd w:val="clear" w:color="auto" w:fill="auto"/>
          <w:lang w:val="en-US" w:eastAsia="zh-CN"/>
        </w:rPr>
        <w:t>6</w:t>
      </w:r>
      <w:r>
        <w:rPr>
          <w:rFonts w:hint="eastAsia" w:cs="宋体"/>
          <w:color w:val="auto"/>
          <w:kern w:val="0"/>
          <w:szCs w:val="21"/>
          <w:highlight w:val="none"/>
          <w:shd w:val="clear" w:color="auto" w:fill="auto"/>
          <w:lang w:val="en-US" w:eastAsia="zh-CN"/>
        </w:rPr>
        <w:t>0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shd w:val="clear" w:color="auto" w:fill="auto"/>
        </w:rPr>
        <w:t>-1</w:t>
      </w:r>
      <w:r>
        <w:rPr>
          <w:rFonts w:hint="eastAsia" w:cs="宋体"/>
          <w:color w:val="auto"/>
          <w:kern w:val="0"/>
          <w:szCs w:val="21"/>
          <w:highlight w:val="none"/>
          <w:shd w:val="clear" w:color="auto" w:fill="auto"/>
          <w:lang w:val="en-US" w:eastAsia="zh-CN"/>
        </w:rPr>
        <w:t>65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shd w:val="clear" w:color="auto" w:fill="auto"/>
        </w:rPr>
        <w:t>学分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二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年制专升本专业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毕业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学分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：75-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8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0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学分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kern w:val="2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kern w:val="2"/>
          <w:szCs w:val="24"/>
          <w:highlight w:val="none"/>
          <w:shd w:val="clear" w:color="auto" w:fill="auto"/>
          <w:lang w:val="en-US" w:eastAsia="zh-CN"/>
        </w:rPr>
        <w:t>学分比例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各专业课程体系中应包括理论教学和实践教学，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实践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教学课程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学分比例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理工农医艺类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不低于总学分的30%，经管类不低于总学分的25%，文科类不低于总学分的20%。课程的实践学时达到16学时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（或1学分）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及以上的可单独设课。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选修学分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是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指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可供学生选择的课程学分，含大学外语、高等数学等实施分层分类教学的课程以及专业方向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模块等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课程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学分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各专业选修学分占总学分比例不低于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0%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学期学分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left"/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一学年由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2个长学期（春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、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秋学期）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和1个短学期构成。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长学期共19周，授课16周，机动1周，复习考试2周。短学期，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1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～4周（安排在暑期），主要安排课程设计、各类实习、考察、采风、社会实践等。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合理分配四年各学期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学分安排，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前四学期适当增加学分，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第八学期集中安排毕业实习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毕业设计（论文）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和毕业教育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。理工农医艺类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毕业设计（论文）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一般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为10学分，经管文科类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一般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为8学分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，毕业教育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周不计学分。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</w:rPr>
        <w:t>课程名称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课程名称</w:t>
      </w: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</w:rPr>
        <w:t>要规范统一，</w:t>
      </w: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同名课程面向不同类学生时开设时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可以</w:t>
      </w: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</w:rPr>
        <w:t>在课程名称后加大字母A、B、C、D等加以区别，A为难度大、多学时的课程，B次之。</w:t>
      </w: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同名课程多学期开设可以</w:t>
      </w: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</w:rPr>
        <w:t>在课程名称后用Ⅰ、Ⅱ等表示。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left"/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 w:val="24"/>
          <w:highlight w:val="none"/>
          <w:u w:val="none"/>
          <w:shd w:val="clear" w:color="auto" w:fill="auto"/>
          <w:lang w:val="en-US" w:eastAsia="zh-CN"/>
        </w:rPr>
        <w:t>课程名称用中英文标识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  <w:t>课程结构体系  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课程体系包括通识教育课程、专业教育课程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两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大平台（见表1）。通识教育课程分设通识必修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、通识限制性选修和任意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选修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三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个课程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类型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；专业教育课程主要包含专业平台必修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、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专业必修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、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专业方向模块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和专业任选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课程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四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个课程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类型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shd w:val="clear" w:color="auto" w:fill="auto"/>
          <w:lang w:eastAsia="zh-CN"/>
        </w:rPr>
        <w:t>表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shd w:val="clear" w:color="auto" w:fill="auto"/>
        </w:rPr>
        <w:t>课程结构体系</w:t>
      </w:r>
    </w:p>
    <w:tbl>
      <w:tblPr>
        <w:tblStyle w:val="6"/>
        <w:tblW w:w="86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1713"/>
        <w:gridCol w:w="2999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平台</w:t>
            </w:r>
          </w:p>
        </w:tc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性质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课程类型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通识教育课程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必修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思想政治理论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类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身心健康类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汉语类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创新创业类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计算机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类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限制性选修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外语类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身心健康类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任意性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选修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素质拓展类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7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小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 xml:space="preserve"> 计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5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专业教育课程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299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专业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平台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课程</w:t>
            </w:r>
          </w:p>
        </w:tc>
        <w:tc>
          <w:tcPr>
            <w:tcW w:w="205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~1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13" w:type="dxa"/>
            <w:vMerge w:val="continue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299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专业课程</w:t>
            </w:r>
          </w:p>
        </w:tc>
        <w:tc>
          <w:tcPr>
            <w:tcW w:w="2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1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限制性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选修</w:t>
            </w:r>
          </w:p>
        </w:tc>
        <w:tc>
          <w:tcPr>
            <w:tcW w:w="299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专业方向模块课程</w:t>
            </w:r>
          </w:p>
        </w:tc>
        <w:tc>
          <w:tcPr>
            <w:tcW w:w="20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1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任意性选修</w:t>
            </w:r>
          </w:p>
        </w:tc>
        <w:tc>
          <w:tcPr>
            <w:tcW w:w="299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专业任选课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4712" w:type="dxa"/>
            <w:gridSpan w:val="2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小   计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108~128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45" w:type="dxa"/>
            <w:gridSpan w:val="3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合   计</w:t>
            </w:r>
          </w:p>
        </w:tc>
        <w:tc>
          <w:tcPr>
            <w:tcW w:w="20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160~180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  <w:t>课程设置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left"/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教务处负责设置通识教育课程；分院负责设置专业教育课程。课程编号编制办法按《绍兴文理学院元培学院2018版本科专业人才培养方案课程编号编制办法》执行。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480" w:firstLineChars="200"/>
        <w:jc w:val="left"/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通识教育课程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left"/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通识教育是适应社会多元化发展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培养创新创业人才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和实现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人的全面可持续发展的需要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，旨在加强学生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职业道德、人文底蕴、科学精神、责任担当、实践创新等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综合素质和基本能力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的培养，为学生继续学习和终身教育打下良好基础。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各种通识教育课程的设置要求如下。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480" w:firstLineChars="200"/>
        <w:jc w:val="left"/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思想政治理论类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left"/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该类课程按照中宣部和教育部有关规定进行安排，采用理论和实践教学相结合的方式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，加强学生的自主学习，加强社会实践活动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left"/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为更有利于学期课程的安排，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根据有关文件要求，除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  <w:lang w:eastAsia="zh-CN"/>
        </w:rPr>
        <w:t>“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形势与政策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  <w:lang w:eastAsia="zh-CN"/>
        </w:rPr>
        <w:t>”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外，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  <w:lang w:eastAsia="zh-CN"/>
        </w:rPr>
        <w:t>其余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  <w:lang w:val="en-US" w:eastAsia="zh-CN"/>
        </w:rPr>
        <w:t>思想政治理论课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要求在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  <w:lang w:eastAsia="zh-CN"/>
        </w:rPr>
        <w:t>第</w:t>
      </w:r>
      <w:r>
        <w:rPr>
          <w:rFonts w:hint="eastAsia" w:ascii="Times New Roman" w:hAnsi="Times New Roman" w:cs="Times New Roman"/>
          <w:color w:val="auto"/>
          <w:sz w:val="24"/>
          <w:highlight w:val="none"/>
          <w:shd w:val="clear" w:color="auto" w:fill="auto"/>
          <w:lang w:val="en-US" w:eastAsia="zh-CN"/>
        </w:rPr>
        <w:t>1-3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  <w:lang w:val="en-US" w:eastAsia="zh-CN"/>
        </w:rPr>
        <w:t>学年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完成，其中“思想道德修养与法律基础”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  <w:lang w:eastAsia="zh-CN"/>
        </w:rPr>
        <w:t>和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“中国近现代史纲要”在</w:t>
      </w:r>
      <w:r>
        <w:rPr>
          <w:rFonts w:hint="eastAsia" w:ascii="Times New Roman" w:hAnsi="Times New Roman" w:cs="Times New Roman"/>
          <w:color w:val="auto"/>
          <w:sz w:val="24"/>
          <w:highlight w:val="none"/>
          <w:shd w:val="clear" w:color="auto" w:fill="auto"/>
          <w:lang w:eastAsia="zh-CN"/>
        </w:rPr>
        <w:t>第</w:t>
      </w:r>
      <w:r>
        <w:rPr>
          <w:rFonts w:hint="eastAsia" w:ascii="Times New Roman" w:hAnsi="Times New Roman" w:cs="Times New Roman"/>
          <w:color w:val="auto"/>
          <w:sz w:val="24"/>
          <w:highlight w:val="none"/>
          <w:shd w:val="clear" w:color="auto" w:fill="auto"/>
          <w:lang w:val="en-US" w:eastAsia="zh-CN"/>
        </w:rPr>
        <w:t>1学年春季或秋季学期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修读，其他课程的</w:t>
      </w:r>
      <w:r>
        <w:rPr>
          <w:rFonts w:hint="eastAsia" w:ascii="Times New Roman" w:hAnsi="Times New Roman" w:cs="Times New Roman"/>
          <w:color w:val="auto"/>
          <w:sz w:val="24"/>
          <w:highlight w:val="none"/>
          <w:shd w:val="clear" w:color="auto" w:fill="auto"/>
          <w:lang w:eastAsia="zh-CN"/>
        </w:rPr>
        <w:t>开设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学期由各专业安排，修读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  <w:lang w:eastAsia="zh-CN"/>
        </w:rPr>
        <w:t>顺序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为、“马克思主义基本原理”、“毛泽东思想和中国特色社会主义理论体系概论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</w:rPr>
        <w:t>Ⅰ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”、“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</w:rPr>
        <w:t>毛泽东思想和中国特色社会主义理论体系概论Ⅱ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”，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  <w:lang w:eastAsia="zh-CN"/>
        </w:rPr>
        <w:t>其中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“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</w:rPr>
        <w:t>毛泽东思想和中国特色社会主义理论体系概论Ⅱ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”</w:t>
      </w:r>
      <w:r>
        <w:rPr>
          <w:rFonts w:hint="eastAsia" w:ascii="Times New Roman" w:hAnsi="Times New Roman" w:cs="Times New Roman"/>
          <w:color w:val="auto"/>
          <w:sz w:val="24"/>
          <w:highlight w:val="none"/>
          <w:shd w:val="clear" w:color="auto" w:fill="auto"/>
          <w:lang w:eastAsia="zh-CN"/>
        </w:rPr>
        <w:t>安排在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“毛泽东思想和中国特色社会主义理论体系概论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</w:rPr>
        <w:t>Ⅰ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”</w:t>
      </w:r>
      <w:r>
        <w:rPr>
          <w:rFonts w:hint="eastAsia" w:ascii="Times New Roman" w:hAnsi="Times New Roman" w:cs="Times New Roman"/>
          <w:color w:val="auto"/>
          <w:sz w:val="24"/>
          <w:highlight w:val="none"/>
          <w:shd w:val="clear" w:color="auto" w:fill="auto"/>
          <w:lang w:eastAsia="zh-CN"/>
        </w:rPr>
        <w:t>之后的</w:t>
      </w:r>
      <w:r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</w:rPr>
        <w:t>短学期。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highlight w:val="none"/>
          <w:shd w:val="clear" w:color="auto" w:fill="auto"/>
          <w:lang w:val="en-US" w:eastAsia="zh-CN"/>
        </w:rPr>
        <w:t>表2.</w:t>
      </w:r>
      <w:r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思想政治理论类</w:t>
      </w:r>
      <w:r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安排表</w:t>
      </w:r>
    </w:p>
    <w:tbl>
      <w:tblPr>
        <w:tblStyle w:val="5"/>
        <w:tblW w:w="88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028"/>
        <w:gridCol w:w="2018"/>
        <w:gridCol w:w="643"/>
        <w:gridCol w:w="660"/>
        <w:gridCol w:w="665"/>
        <w:gridCol w:w="665"/>
        <w:gridCol w:w="665"/>
        <w:gridCol w:w="1065"/>
        <w:gridCol w:w="679"/>
        <w:gridCol w:w="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大类</w:t>
            </w:r>
          </w:p>
        </w:tc>
        <w:tc>
          <w:tcPr>
            <w:tcW w:w="102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课程代码</w:t>
            </w:r>
          </w:p>
        </w:tc>
        <w:tc>
          <w:tcPr>
            <w:tcW w:w="20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名称</w:t>
            </w:r>
          </w:p>
        </w:tc>
        <w:tc>
          <w:tcPr>
            <w:tcW w:w="64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性质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分</w:t>
            </w:r>
          </w:p>
        </w:tc>
        <w:tc>
          <w:tcPr>
            <w:tcW w:w="199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学时</w:t>
            </w:r>
          </w:p>
        </w:tc>
        <w:tc>
          <w:tcPr>
            <w:tcW w:w="10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开设</w:t>
            </w:r>
            <w:r>
              <w:rPr>
                <w:rFonts w:hint="default" w:ascii="Times New Roman" w:hAnsi="Times New Roman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学年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学期</w:t>
            </w:r>
          </w:p>
        </w:tc>
        <w:tc>
          <w:tcPr>
            <w:tcW w:w="6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20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合计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理论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实践</w:t>
            </w: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思想政治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理论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类</w:t>
            </w:r>
          </w:p>
        </w:tc>
        <w:tc>
          <w:tcPr>
            <w:tcW w:w="10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/>
                <w:color w:val="auto"/>
                <w:szCs w:val="21"/>
                <w:shd w:val="clear" w:color="auto" w:fill="auto"/>
              </w:rPr>
              <w:t>1302015</w:t>
            </w: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思想道德修养与法律基础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必修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2+1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48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（2）</w:t>
            </w:r>
          </w:p>
        </w:tc>
        <w:tc>
          <w:tcPr>
            <w:tcW w:w="10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1-1/1-2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  <w:t>1302013</w:t>
            </w: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中国近现代史纲要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必修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8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  <w:t>1302022</w:t>
            </w: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auto"/>
              </w:rPr>
              <w:t>马克思主义基本原理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必修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2+1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48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（2）</w:t>
            </w:r>
          </w:p>
        </w:tc>
        <w:tc>
          <w:tcPr>
            <w:tcW w:w="10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2-1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~3-2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8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  <w:t>1302024</w:t>
            </w: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毛泽东思想和中国特色社会主义理论体系概论Ⅰ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必修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64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64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8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  <w:t>1302025</w:t>
            </w: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毛泽东思想和中国特色社会主义理论体系概论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Ⅱ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必修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2-3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/3-3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  <w:t>1302017</w:t>
            </w: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形势与政策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必修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 xml:space="preserve"> 4-2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447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合计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16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200" w:right="0" w:rightChars="0"/>
        <w:jc w:val="left"/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480" w:firstLineChars="200"/>
        <w:jc w:val="left"/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身心健康类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left"/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身心健康类包括大学生心理健康、军事理论与训练、公共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体育和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大学生体质健康测试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。其中公共体育实行基础+项目方式开展分类教学；大学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生体质健康测试不设学分。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center"/>
        <w:rPr>
          <w:rFonts w:hint="default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表3.身心健康类课程安排表</w:t>
      </w:r>
    </w:p>
    <w:tbl>
      <w:tblPr>
        <w:tblStyle w:val="5"/>
        <w:tblW w:w="88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028"/>
        <w:gridCol w:w="2158"/>
        <w:gridCol w:w="660"/>
        <w:gridCol w:w="585"/>
        <w:gridCol w:w="660"/>
        <w:gridCol w:w="645"/>
        <w:gridCol w:w="705"/>
        <w:gridCol w:w="983"/>
        <w:gridCol w:w="664"/>
        <w:gridCol w:w="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大类</w:t>
            </w:r>
          </w:p>
        </w:tc>
        <w:tc>
          <w:tcPr>
            <w:tcW w:w="102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代码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名称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性质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分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学时</w:t>
            </w:r>
          </w:p>
        </w:tc>
        <w:tc>
          <w:tcPr>
            <w:tcW w:w="9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开设</w:t>
            </w:r>
            <w:r>
              <w:rPr>
                <w:rFonts w:hint="default" w:ascii="Times New Roman" w:hAnsi="Times New Roman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学年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学期</w:t>
            </w:r>
          </w:p>
        </w:tc>
        <w:tc>
          <w:tcPr>
            <w:tcW w:w="667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5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合计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理论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实践</w:t>
            </w:r>
          </w:p>
        </w:tc>
        <w:tc>
          <w:tcPr>
            <w:tcW w:w="9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身心健康类</w:t>
            </w:r>
          </w:p>
        </w:tc>
        <w:tc>
          <w:tcPr>
            <w:tcW w:w="10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1380901</w:t>
            </w:r>
          </w:p>
        </w:tc>
        <w:tc>
          <w:tcPr>
            <w:tcW w:w="2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大学生心理健康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1+1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16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（2）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1-1/1-2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0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  <w:t>1802001</w:t>
            </w:r>
          </w:p>
        </w:tc>
        <w:tc>
          <w:tcPr>
            <w:tcW w:w="2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军事理论与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训练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+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+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1-3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  <w:t>1402005</w:t>
            </w:r>
          </w:p>
        </w:tc>
        <w:tc>
          <w:tcPr>
            <w:tcW w:w="2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公共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体育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Ⅰ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限制性选修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1-1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  <w:t>1402006</w:t>
            </w:r>
          </w:p>
        </w:tc>
        <w:tc>
          <w:tcPr>
            <w:tcW w:w="2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公共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体育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Ⅱ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1-2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  <w:t>1402007</w:t>
            </w:r>
          </w:p>
        </w:tc>
        <w:tc>
          <w:tcPr>
            <w:tcW w:w="2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公共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体育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Ⅲ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2-1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  <w:t>1402008</w:t>
            </w:r>
          </w:p>
        </w:tc>
        <w:tc>
          <w:tcPr>
            <w:tcW w:w="2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公共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体育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Ⅳ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2-2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7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/>
                <w:color w:val="auto"/>
                <w:szCs w:val="21"/>
                <w:shd w:val="clear" w:color="auto" w:fill="auto"/>
              </w:rPr>
              <w:t>14</w:t>
            </w:r>
            <w:r>
              <w:rPr>
                <w:rFonts w:hint="eastAsia" w:ascii="Times New Roman" w:hAnsi="Times New Roman"/>
                <w:color w:val="auto"/>
                <w:szCs w:val="21"/>
                <w:shd w:val="clear" w:color="auto" w:fill="auto"/>
                <w:lang w:eastAsia="zh-CN"/>
              </w:rPr>
              <w:t>8</w:t>
            </w:r>
            <w:r>
              <w:rPr>
                <w:rFonts w:hint="eastAsia" w:ascii="Times New Roman" w:hAnsi="Times New Roman"/>
                <w:color w:val="auto"/>
                <w:szCs w:val="21"/>
                <w:shd w:val="clear" w:color="auto" w:fill="auto"/>
                <w:lang w:val="en-US" w:eastAsia="zh-CN"/>
              </w:rPr>
              <w:t>0902</w:t>
            </w:r>
          </w:p>
        </w:tc>
        <w:tc>
          <w:tcPr>
            <w:tcW w:w="21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大学生体质健康测试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0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" w:hRule="atLeast"/>
          <w:jc w:val="center"/>
        </w:trPr>
        <w:tc>
          <w:tcPr>
            <w:tcW w:w="463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合计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12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jc w:val="left"/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480" w:firstLineChars="200"/>
        <w:jc w:val="left"/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汉语类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right="0" w:rightChars="0" w:firstLine="480"/>
        <w:jc w:val="left"/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为非汉语言文学类专业的必修课程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，开设学期在第2学年秋季至第3学年秋季学期，具体由各专业选定。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right="0" w:rightChars="0" w:firstLine="480"/>
        <w:jc w:val="center"/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right="0" w:rightChars="0" w:firstLine="480"/>
        <w:jc w:val="center"/>
        <w:rPr>
          <w:rFonts w:hint="default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表4.汉语类课程安排表</w:t>
      </w:r>
    </w:p>
    <w:tbl>
      <w:tblPr>
        <w:tblStyle w:val="5"/>
        <w:tblW w:w="8957" w:type="dxa"/>
        <w:jc w:val="center"/>
        <w:tblInd w:w="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037"/>
        <w:gridCol w:w="2040"/>
        <w:gridCol w:w="645"/>
        <w:gridCol w:w="690"/>
        <w:gridCol w:w="655"/>
        <w:gridCol w:w="655"/>
        <w:gridCol w:w="655"/>
        <w:gridCol w:w="1095"/>
        <w:gridCol w:w="687"/>
        <w:gridCol w:w="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79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大类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课程代码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名称</w:t>
            </w:r>
          </w:p>
        </w:tc>
        <w:tc>
          <w:tcPr>
            <w:tcW w:w="64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性质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分</w:t>
            </w:r>
          </w:p>
        </w:tc>
        <w:tc>
          <w:tcPr>
            <w:tcW w:w="19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学时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开设</w:t>
            </w:r>
            <w:r>
              <w:rPr>
                <w:rFonts w:hint="default" w:ascii="Times New Roman" w:hAnsi="Times New Roman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学年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学期</w:t>
            </w:r>
          </w:p>
        </w:tc>
        <w:tc>
          <w:tcPr>
            <w:tcW w:w="6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85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合计</w:t>
            </w:r>
          </w:p>
        </w:tc>
        <w:tc>
          <w:tcPr>
            <w:tcW w:w="6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理论</w:t>
            </w:r>
          </w:p>
        </w:tc>
        <w:tc>
          <w:tcPr>
            <w:tcW w:w="6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实践</w:t>
            </w:r>
          </w:p>
        </w:tc>
        <w:tc>
          <w:tcPr>
            <w:tcW w:w="10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21" w:hRule="atLeast"/>
          <w:jc w:val="center"/>
        </w:trPr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汉语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类</w:t>
            </w:r>
          </w:p>
        </w:tc>
        <w:tc>
          <w:tcPr>
            <w:tcW w:w="103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szCs w:val="21"/>
                <w:shd w:val="clear" w:color="auto" w:fill="auto"/>
              </w:rPr>
              <w:t>1180</w:t>
            </w:r>
            <w:r>
              <w:rPr>
                <w:rFonts w:hint="eastAsia" w:ascii="Times New Roman" w:hAnsi="Times New Roman"/>
                <w:color w:val="auto"/>
                <w:szCs w:val="21"/>
                <w:shd w:val="clear" w:color="auto" w:fill="auto"/>
                <w:lang w:eastAsia="zh-CN"/>
              </w:rPr>
              <w:t>9</w:t>
            </w:r>
            <w:r>
              <w:rPr>
                <w:rFonts w:hint="default" w:ascii="Times New Roman" w:hAnsi="Times New Roman"/>
                <w:color w:val="auto"/>
                <w:szCs w:val="21"/>
                <w:shd w:val="clear" w:color="auto" w:fill="auto"/>
              </w:rPr>
              <w:t>0</w:t>
            </w:r>
            <w:r>
              <w:rPr>
                <w:rFonts w:hint="eastAsia" w:ascii="Times New Roman" w:hAnsi="Times New Roman"/>
                <w:color w:val="auto"/>
                <w:szCs w:val="21"/>
                <w:shd w:val="clear" w:color="auto" w:fill="auto"/>
                <w:lang w:val="en-US" w:eastAsia="zh-CN"/>
              </w:rPr>
              <w:t>7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  <w:t>应用文写作与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  <w:lang w:eastAsia="zh-CN"/>
              </w:rPr>
              <w:t>口语交际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6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6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0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-1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~3-1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23" w:hRule="atLeast"/>
          <w:jc w:val="center"/>
        </w:trPr>
        <w:tc>
          <w:tcPr>
            <w:tcW w:w="451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合计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480" w:firstLineChars="200"/>
        <w:jc w:val="left"/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创新创业类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left"/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创新创业类分必修和任意性选修两部分组成。必修课程根据《浙江省人民政府办公厅关于推进高等学校创新创业教育的实施意见》（浙政办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〔</w:t>
      </w:r>
      <w:r>
        <w:rPr>
          <w:rFonts w:hint="eastAsia" w:ascii="宋体" w:hAnsi="宋体" w:cs="宋体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2016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〕</w:t>
      </w:r>
      <w:r>
        <w:rPr>
          <w:rFonts w:hint="eastAsia" w:ascii="宋体" w:hAnsi="宋体" w:cs="宋体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9号</w:t>
      </w:r>
      <w:r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）文件要求，开设职业生涯规划与就业指导、创新创业基础，开设学期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在第1学年春季至第2学年春季学期，具体由各专业选定；选修课程开</w:t>
      </w:r>
      <w:r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设在素质拓展类，同时</w:t>
      </w:r>
      <w:r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各专业将创新创业教育的理念融入专业教育，根据学科专业特点开设创新创业课程。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200" w:right="0" w:rightChars="0"/>
        <w:jc w:val="center"/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表5创新创业类课程安排表</w:t>
      </w:r>
    </w:p>
    <w:tbl>
      <w:tblPr>
        <w:tblStyle w:val="5"/>
        <w:tblW w:w="9042" w:type="dxa"/>
        <w:jc w:val="center"/>
        <w:tblInd w:w="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079"/>
        <w:gridCol w:w="1995"/>
        <w:gridCol w:w="660"/>
        <w:gridCol w:w="690"/>
        <w:gridCol w:w="660"/>
        <w:gridCol w:w="645"/>
        <w:gridCol w:w="675"/>
        <w:gridCol w:w="1065"/>
        <w:gridCol w:w="745"/>
        <w:gridCol w:w="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大类</w:t>
            </w:r>
          </w:p>
        </w:tc>
        <w:tc>
          <w:tcPr>
            <w:tcW w:w="107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课程代码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名称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性质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分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学时</w:t>
            </w:r>
          </w:p>
        </w:tc>
        <w:tc>
          <w:tcPr>
            <w:tcW w:w="10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开设</w:t>
            </w:r>
            <w:r>
              <w:rPr>
                <w:rFonts w:hint="default" w:ascii="Times New Roman" w:hAnsi="Times New Roman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学年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学期</w:t>
            </w:r>
          </w:p>
        </w:tc>
        <w:tc>
          <w:tcPr>
            <w:tcW w:w="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87" w:hRule="atLeast"/>
          <w:jc w:val="center"/>
        </w:trPr>
        <w:tc>
          <w:tcPr>
            <w:tcW w:w="8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9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合计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理论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实践</w:t>
            </w: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7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879" w:hRule="atLeast"/>
          <w:jc w:val="center"/>
        </w:trPr>
        <w:tc>
          <w:tcPr>
            <w:tcW w:w="8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创新创业类</w:t>
            </w:r>
          </w:p>
        </w:tc>
        <w:tc>
          <w:tcPr>
            <w:tcW w:w="10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yellow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yellow"/>
                <w:shd w:val="clear" w:color="auto" w:fill="auto"/>
                <w:lang w:val="en-US" w:eastAsia="zh-CN"/>
              </w:rPr>
              <w:t>1380902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  <w:lang w:eastAsia="zh-CN"/>
              </w:rPr>
              <w:t>职业</w:t>
            </w:r>
            <w:r>
              <w:rPr>
                <w:rFonts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</w:rPr>
              <w:t>生涯规划与就业指导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16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16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0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highlight w:val="none"/>
                <w:shd w:val="clear" w:color="auto" w:fill="auto"/>
                <w:lang w:val="en-US" w:eastAsia="zh-CN"/>
              </w:rPr>
              <w:t>1-2~2-2</w:t>
            </w:r>
          </w:p>
        </w:tc>
        <w:tc>
          <w:tcPr>
            <w:tcW w:w="7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879" w:hRule="atLeast"/>
          <w:jc w:val="center"/>
        </w:trPr>
        <w:tc>
          <w:tcPr>
            <w:tcW w:w="8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0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yellow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yellow"/>
                <w:shd w:val="clear" w:color="auto" w:fill="auto"/>
                <w:lang w:val="en-US" w:eastAsia="zh-CN"/>
              </w:rPr>
              <w:t>1380903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创新创业基础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16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16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7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16" w:hRule="atLeast"/>
          <w:jc w:val="center"/>
        </w:trPr>
        <w:tc>
          <w:tcPr>
            <w:tcW w:w="45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合计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7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440" w:lineRule="exact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480" w:firstLineChars="200"/>
        <w:jc w:val="left"/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计算机类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right="0" w:rightChars="0" w:firstLine="480"/>
        <w:jc w:val="left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为非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计算机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类专业的必修课程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，开设学期在</w:t>
      </w:r>
      <w:r>
        <w:rPr>
          <w:rFonts w:hint="eastAsia" w:ascii="Times New Roman" w:hAnsi="Times New Roman" w:cs="Times New Roman"/>
          <w:color w:val="auto"/>
          <w:sz w:val="24"/>
          <w:highlight w:val="none"/>
          <w:shd w:val="clear" w:color="auto" w:fill="auto"/>
          <w:lang w:eastAsia="zh-CN"/>
        </w:rPr>
        <w:t>第</w:t>
      </w:r>
      <w:r>
        <w:rPr>
          <w:rFonts w:hint="eastAsia" w:ascii="Times New Roman" w:hAnsi="Times New Roman" w:cs="Times New Roman"/>
          <w:color w:val="auto"/>
          <w:sz w:val="24"/>
          <w:highlight w:val="none"/>
          <w:shd w:val="clear" w:color="auto" w:fill="auto"/>
          <w:lang w:val="en-US" w:eastAsia="zh-CN"/>
        </w:rPr>
        <w:t>1学年春季或秋季学期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，具体由各专业选定。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200" w:right="0" w:rightChars="0"/>
        <w:jc w:val="center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表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6.计算机类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课程安排表</w:t>
      </w:r>
    </w:p>
    <w:tbl>
      <w:tblPr>
        <w:tblStyle w:val="5"/>
        <w:tblW w:w="90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2145"/>
        <w:gridCol w:w="669"/>
        <w:gridCol w:w="516"/>
        <w:gridCol w:w="660"/>
        <w:gridCol w:w="675"/>
        <w:gridCol w:w="675"/>
        <w:gridCol w:w="1080"/>
        <w:gridCol w:w="1025"/>
        <w:gridCol w:w="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大类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代码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名称</w:t>
            </w:r>
          </w:p>
        </w:tc>
        <w:tc>
          <w:tcPr>
            <w:tcW w:w="66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性质</w:t>
            </w:r>
          </w:p>
        </w:tc>
        <w:tc>
          <w:tcPr>
            <w:tcW w:w="51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分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学时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开设学期</w:t>
            </w:r>
          </w:p>
        </w:tc>
        <w:tc>
          <w:tcPr>
            <w:tcW w:w="102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9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21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5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合计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理论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实践</w:t>
            </w:r>
          </w:p>
        </w:tc>
        <w:tc>
          <w:tcPr>
            <w:tcW w:w="10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2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3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计算机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类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0"/>
                <w:szCs w:val="20"/>
                <w:highlight w:val="none"/>
                <w:shd w:val="clear" w:color="auto" w:fill="auto"/>
              </w:rPr>
              <w:t>1202018</w:t>
            </w:r>
          </w:p>
        </w:tc>
        <w:tc>
          <w:tcPr>
            <w:tcW w:w="21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highlight w:val="none"/>
                <w:shd w:val="clear" w:color="auto" w:fill="auto"/>
              </w:rPr>
              <w:t>办公自动化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16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16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1-1/1-2</w:t>
            </w:r>
          </w:p>
        </w:tc>
        <w:tc>
          <w:tcPr>
            <w:tcW w:w="10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3" w:hRule="atLeast"/>
          <w:jc w:val="center"/>
        </w:trPr>
        <w:tc>
          <w:tcPr>
            <w:tcW w:w="446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合计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0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200" w:right="0" w:rightChars="0"/>
        <w:jc w:val="left"/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480" w:firstLineChars="200"/>
        <w:jc w:val="left"/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外语类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left"/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大学外语类课程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是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全校非英语类专业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通识教育课程中的限制性选修课程。自2018级开始推行“8+X”改革，深化实行分类分层培养,其中8学分为通识限制性选修课程，分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大学英语和大学日语两大类，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大学日语面向全院学生进行选修，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大学英语面向普高招生专业开设大学英语A；面向中职招生专业及艺术类专业开设大学英语B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；X为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通识教育课程中跨文化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交流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模块课程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学分，主要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开设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雅思英语口语、六级强化等选修课程，以满足学生个性化英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语学习需要，拓宽学生国际视野。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left"/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大学外语类课程的修读要求为：学生修满大学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外语通识限制性选修课程8个学分且通过</w:t>
      </w: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全国大学英语四级考试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（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中职招生专业及艺术类专业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学生为浙江省大学英语三级考试）或通过</w:t>
      </w: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浙江省大学日语三级考试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，可选择修读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通识教育课程中跨文化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交流</w:t>
      </w:r>
      <w:r>
        <w:rPr>
          <w:rFonts w:hint="default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模块</w:t>
      </w:r>
      <w:r>
        <w:rPr>
          <w:rFonts w:hint="eastAsia" w:ascii="Times New Roman" w:hAnsi="Times New Roman"/>
          <w:color w:val="auto"/>
          <w:sz w:val="24"/>
          <w:highlight w:val="none"/>
          <w:shd w:val="clear" w:color="auto" w:fill="auto"/>
          <w:lang w:val="en-US" w:eastAsia="zh-CN"/>
        </w:rPr>
        <w:t>中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的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雅思/托福、英语口语、六级强化等选修课程学分；未通过等级考试者，则必须在第2学年秋季学期修读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通识教育课程中跨文化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交流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模块课程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中的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“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大学英语</w:t>
      </w:r>
      <w:r>
        <w:rPr>
          <w:rFonts w:ascii="Times New Roman" w:hAnsi="Times New Roman"/>
          <w:color w:val="auto"/>
          <w:sz w:val="24"/>
          <w:szCs w:val="24"/>
          <w:highlight w:val="none"/>
          <w:shd w:val="clear" w:color="auto" w:fill="auto"/>
        </w:rPr>
        <w:t>A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Ⅲ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”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课程（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中职、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艺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术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类专业学生为“大学英语</w:t>
      </w:r>
      <w:r>
        <w:rPr>
          <w:rFonts w:ascii="Times New Roman" w:hAnsi="Times New Roman"/>
          <w:color w:val="auto"/>
          <w:sz w:val="24"/>
          <w:szCs w:val="24"/>
          <w:highlight w:val="none"/>
          <w:shd w:val="clear" w:color="auto" w:fill="auto"/>
        </w:rPr>
        <w:t>B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Ⅲ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”课程）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或“大学日语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Ⅲ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”。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center"/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表7大学外语课程安排表</w:t>
      </w:r>
    </w:p>
    <w:tbl>
      <w:tblPr>
        <w:tblStyle w:val="5"/>
        <w:tblW w:w="91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46"/>
        <w:gridCol w:w="1588"/>
        <w:gridCol w:w="685"/>
        <w:gridCol w:w="607"/>
        <w:gridCol w:w="596"/>
        <w:gridCol w:w="595"/>
        <w:gridCol w:w="596"/>
        <w:gridCol w:w="786"/>
        <w:gridCol w:w="1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7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大类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课程代码</w:t>
            </w:r>
          </w:p>
        </w:tc>
        <w:tc>
          <w:tcPr>
            <w:tcW w:w="158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名称</w:t>
            </w:r>
          </w:p>
        </w:tc>
        <w:tc>
          <w:tcPr>
            <w:tcW w:w="6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性质</w:t>
            </w:r>
          </w:p>
        </w:tc>
        <w:tc>
          <w:tcPr>
            <w:tcW w:w="60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分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学时</w:t>
            </w:r>
          </w:p>
        </w:tc>
        <w:tc>
          <w:tcPr>
            <w:tcW w:w="78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开设学期</w:t>
            </w:r>
          </w:p>
        </w:tc>
        <w:tc>
          <w:tcPr>
            <w:tcW w:w="17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5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6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合计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理论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实践</w:t>
            </w:r>
          </w:p>
        </w:tc>
        <w:tc>
          <w:tcPr>
            <w:tcW w:w="78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7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外语类</w:t>
            </w:r>
          </w:p>
        </w:tc>
        <w:tc>
          <w:tcPr>
            <w:tcW w:w="11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1180901</w:t>
            </w:r>
          </w:p>
        </w:tc>
        <w:tc>
          <w:tcPr>
            <w:tcW w:w="1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Ⅰ</w:t>
            </w:r>
          </w:p>
        </w:tc>
        <w:tc>
          <w:tcPr>
            <w:tcW w:w="6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6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64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7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1-1</w:t>
            </w:r>
          </w:p>
        </w:tc>
        <w:tc>
          <w:tcPr>
            <w:tcW w:w="17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面向</w:t>
            </w:r>
            <w:r>
              <w:rPr>
                <w:rFonts w:hint="default" w:ascii="Times New Roman" w:hAnsi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非英语类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普通招生专业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1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1180902</w:t>
            </w:r>
          </w:p>
        </w:tc>
        <w:tc>
          <w:tcPr>
            <w:tcW w:w="1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Ⅱ</w:t>
            </w:r>
          </w:p>
        </w:tc>
        <w:tc>
          <w:tcPr>
            <w:tcW w:w="6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6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64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7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1-2</w:t>
            </w:r>
          </w:p>
        </w:tc>
        <w:tc>
          <w:tcPr>
            <w:tcW w:w="17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1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1180903</w:t>
            </w:r>
          </w:p>
        </w:tc>
        <w:tc>
          <w:tcPr>
            <w:tcW w:w="1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Ⅰ</w:t>
            </w:r>
          </w:p>
        </w:tc>
        <w:tc>
          <w:tcPr>
            <w:tcW w:w="6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6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64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7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1-1</w:t>
            </w:r>
          </w:p>
        </w:tc>
        <w:tc>
          <w:tcPr>
            <w:tcW w:w="17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面向中职招生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、艺术类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1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pacing w:val="-6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1180904</w:t>
            </w:r>
          </w:p>
        </w:tc>
        <w:tc>
          <w:tcPr>
            <w:tcW w:w="1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Ⅱ</w:t>
            </w:r>
          </w:p>
        </w:tc>
        <w:tc>
          <w:tcPr>
            <w:tcW w:w="6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6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64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7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1-2</w:t>
            </w:r>
          </w:p>
        </w:tc>
        <w:tc>
          <w:tcPr>
            <w:tcW w:w="17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1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eastAsia" w:ascii="Times New Roman" w:hAnsi="Times New Roman" w:cs="Times New Roman"/>
                <w:color w:val="auto"/>
                <w:spacing w:val="-6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1180905</w:t>
            </w:r>
          </w:p>
        </w:tc>
        <w:tc>
          <w:tcPr>
            <w:tcW w:w="1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大学日语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Ⅰ</w:t>
            </w:r>
          </w:p>
        </w:tc>
        <w:tc>
          <w:tcPr>
            <w:tcW w:w="6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6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64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7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1-1</w:t>
            </w:r>
          </w:p>
        </w:tc>
        <w:tc>
          <w:tcPr>
            <w:tcW w:w="17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面向所有专业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1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eastAsia" w:ascii="Times New Roman" w:hAnsi="Times New Roman" w:cs="Times New Roman"/>
                <w:color w:val="auto"/>
                <w:spacing w:val="-6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pacing w:val="-6"/>
                <w:sz w:val="21"/>
                <w:szCs w:val="21"/>
                <w:shd w:val="clear" w:color="auto" w:fill="auto"/>
                <w:lang w:val="en-US" w:eastAsia="zh-CN"/>
              </w:rPr>
              <w:t>1180906</w:t>
            </w:r>
          </w:p>
        </w:tc>
        <w:tc>
          <w:tcPr>
            <w:tcW w:w="1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大学日语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Ⅱ</w:t>
            </w:r>
          </w:p>
        </w:tc>
        <w:tc>
          <w:tcPr>
            <w:tcW w:w="6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必修</w:t>
            </w:r>
          </w:p>
        </w:tc>
        <w:tc>
          <w:tcPr>
            <w:tcW w:w="6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64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32</w:t>
            </w:r>
          </w:p>
        </w:tc>
        <w:tc>
          <w:tcPr>
            <w:tcW w:w="7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  <w:t>1-2</w:t>
            </w:r>
          </w:p>
        </w:tc>
        <w:tc>
          <w:tcPr>
            <w:tcW w:w="17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19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合计</w:t>
            </w:r>
          </w:p>
        </w:tc>
        <w:tc>
          <w:tcPr>
            <w:tcW w:w="6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8</w:t>
            </w: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128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5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7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7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480" w:firstLineChars="200"/>
        <w:jc w:val="left"/>
        <w:rPr>
          <w:rFonts w:hint="default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素质拓展类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学生应修满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10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个学分的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素质拓展类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课程。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素质拓展类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课程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分为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素质教育类、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创新创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类、跨文化交流类、职业发展类和专业拓展类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个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课程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模块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both"/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素质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拓展类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课程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学生在第一学年春季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学期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开始修读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，每学期修读学分数一般不超过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4</w:t>
      </w:r>
      <w:r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</w:rPr>
        <w:t>学分。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jc w:val="center"/>
        <w:rPr>
          <w:rFonts w:hint="default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表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8.</w:t>
      </w:r>
      <w:r>
        <w:rPr>
          <w:rFonts w:hint="eastAsia" w:ascii="Times New Roman" w:hAnsi="Times New Roman"/>
          <w:b w:val="0"/>
          <w:bCs w:val="0"/>
          <w:color w:val="auto"/>
          <w:sz w:val="24"/>
          <w:highlight w:val="none"/>
          <w:shd w:val="clear" w:color="auto" w:fill="auto"/>
          <w:lang w:val="en-US" w:eastAsia="zh-CN"/>
        </w:rPr>
        <w:t>素质拓展类课程安排表</w:t>
      </w:r>
    </w:p>
    <w:tbl>
      <w:tblPr>
        <w:tblStyle w:val="5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337"/>
        <w:gridCol w:w="2325"/>
        <w:gridCol w:w="44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</w:rPr>
              <w:t>课程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大类</w:t>
            </w:r>
          </w:p>
        </w:tc>
        <w:tc>
          <w:tcPr>
            <w:tcW w:w="133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课程模块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课程类型</w:t>
            </w:r>
          </w:p>
        </w:tc>
        <w:tc>
          <w:tcPr>
            <w:tcW w:w="44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课程说明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7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素质拓展类</w:t>
            </w:r>
          </w:p>
        </w:tc>
        <w:tc>
          <w:tcPr>
            <w:tcW w:w="133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素质教育课程模块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面向全院开设的人文社科类、艺术类、经管类、工程技术类等课程</w:t>
            </w:r>
          </w:p>
        </w:tc>
        <w:tc>
          <w:tcPr>
            <w:tcW w:w="44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学生可以根据自己的兴趣爱好，选择性修读相关课程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....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  <w:t>创新创业课程模块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left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  <w:t>微商创业指南</w:t>
            </w:r>
          </w:p>
        </w:tc>
        <w:tc>
          <w:tcPr>
            <w:tcW w:w="44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各专业根据学科专业特点，将创新创业教育的理念融入专业教育，开设多样化的创新创业课程；鼓励开设科技竞赛项目课程。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left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  <w:t>创业管理基础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left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  <w:t>科技竞赛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....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  <w:t>跨文化交流课程模块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szCs w:val="20"/>
                <w:highlight w:val="none"/>
                <w:shd w:val="clear" w:color="auto" w:fill="auto"/>
              </w:rPr>
              <w:t>大学英语</w:t>
            </w:r>
            <w:r>
              <w:rPr>
                <w:rFonts w:ascii="Times New Roman" w:hAnsi="Times New Roman"/>
                <w:color w:val="auto"/>
                <w:szCs w:val="20"/>
                <w:highlight w:val="none"/>
                <w:shd w:val="clear" w:color="auto" w:fill="auto"/>
              </w:rPr>
              <w:t>A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 w:bidi="ar"/>
              </w:rPr>
              <w:t xml:space="preserve">Ⅲ </w:t>
            </w:r>
          </w:p>
        </w:tc>
        <w:tc>
          <w:tcPr>
            <w:tcW w:w="44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若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学生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未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通过全国大学英语四级考试（中职招生专业及艺术类专业学生为浙江省大学英语三级考试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）或浙江省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大学日语三级考试，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则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在第3学期修读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“大学英语A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Ⅲ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”课程（中职、艺术类专业学生为“大学英语B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</w:rPr>
              <w:t>Ⅲ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”课程）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或大学日语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 w:bidi="ar"/>
              </w:rPr>
              <w:t>Ⅲ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szCs w:val="20"/>
                <w:highlight w:val="none"/>
                <w:shd w:val="clear" w:color="auto" w:fill="auto"/>
              </w:rPr>
              <w:t>大学英语</w:t>
            </w:r>
            <w:r>
              <w:rPr>
                <w:rFonts w:ascii="Times New Roman" w:hAnsi="Times New Roman"/>
                <w:color w:val="auto"/>
                <w:szCs w:val="20"/>
                <w:highlight w:val="none"/>
                <w:shd w:val="clear" w:color="auto" w:fill="auto"/>
              </w:rPr>
              <w:t>B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 w:bidi="ar"/>
              </w:rPr>
              <w:t xml:space="preserve">Ⅲ 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highlight w:val="none"/>
                <w:shd w:val="clear" w:color="auto" w:fill="auto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highlight w:val="none"/>
                <w:shd w:val="clear" w:color="auto" w:fill="auto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/>
                <w:color w:val="auto"/>
                <w:szCs w:val="20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0"/>
                <w:highlight w:val="none"/>
                <w:shd w:val="clear" w:color="auto" w:fill="auto"/>
                <w:lang w:eastAsia="zh-CN"/>
              </w:rPr>
              <w:t>大学日语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 w:bidi="ar"/>
              </w:rPr>
              <w:t xml:space="preserve">Ⅲ 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/>
                <w:color w:val="auto"/>
                <w:szCs w:val="20"/>
                <w:highlight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雅思/托福</w:t>
            </w:r>
          </w:p>
        </w:tc>
        <w:tc>
          <w:tcPr>
            <w:tcW w:w="44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实行分类培养，推进国际化，拓宽学生国际视野，满足学生外语学习需要。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英语口语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六级强化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日语基础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....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职业发展课程模块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赴企业参加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的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培训课程</w:t>
            </w:r>
          </w:p>
        </w:tc>
        <w:tc>
          <w:tcPr>
            <w:tcW w:w="44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针对专业对应的职业岗位所要求的职业素养和技能，由各专业选择性开设的相关课程，或面向行业职业技能证书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、职业资格证书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所开设的课程，鼓励与企业共建课程。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企业文化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....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  <w:t>专业拓展课程模块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  <w:t>跨专业课程</w:t>
            </w:r>
          </w:p>
        </w:tc>
        <w:tc>
          <w:tcPr>
            <w:tcW w:w="44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eastAsia="zh-CN"/>
              </w:rPr>
              <w:t>由各专业基于本专业人才培养需要选择性设置的跨专业、</w:t>
            </w:r>
            <w:r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</w:rPr>
              <w:t>跨学科的系列课程</w:t>
            </w:r>
            <w:r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eastAsia="zh-CN"/>
              </w:rPr>
              <w:t>。鼓励学生修读此模块课程获得辅修专业证书。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31" w:beforeLines="10" w:after="31" w:afterLines="10" w:line="240" w:lineRule="auto"/>
              <w:ind w:right="0" w:rightChars="0"/>
              <w:jc w:val="center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....</w:t>
            </w:r>
          </w:p>
        </w:tc>
        <w:tc>
          <w:tcPr>
            <w:tcW w:w="4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right="0" w:rightChars="0"/>
              <w:rPr>
                <w:rFonts w:hint="default" w:ascii="Times New Roman" w:hAnsi="Times New Roman"/>
                <w:color w:val="auto"/>
                <w:highlight w:val="none"/>
                <w:shd w:val="clear" w:color="auto" w:fill="auto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93" w:beforeLines="30" w:after="93" w:afterLines="30" w:line="440" w:lineRule="exact"/>
        <w:ind w:right="0" w:rightChars="0"/>
        <w:rPr>
          <w:rFonts w:hint="default" w:ascii="Times New Roman" w:hAnsi="Times New Roman" w:eastAsia="仿宋" w:cs="Times New Roman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482" w:firstLineChars="200"/>
        <w:jc w:val="left"/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专业教育课程</w:t>
      </w:r>
    </w:p>
    <w:p>
      <w:pPr>
        <w:keepNext w:val="0"/>
        <w:keepLines w:val="0"/>
        <w:pageBreakBefore w:val="0"/>
        <w:numPr>
          <w:ilvl w:val="0"/>
          <w:numId w:val="7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spacing w:before="93" w:beforeLines="30" w:after="93" w:afterLines="30" w:line="440" w:lineRule="exact"/>
        <w:ind w:left="0" w:leftChars="0" w:right="0" w:rightChars="0"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专业平台课程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按学科门类或一级学科、相近相关专业打通的专业基础课程或大类专业共享课程。以学科相近为原则，加强相关专业之间在人才培养中的资源共享，整合若干个相近的专业形成学科专业共享平台。原则上同一专业类所属专业应建立1学年及以上的学科专业共享平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各专业可根据专业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人才培养要求开设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数理化课程及信息计算类课程。</w:t>
      </w:r>
    </w:p>
    <w:p>
      <w:pPr>
        <w:keepNext w:val="0"/>
        <w:keepLines w:val="0"/>
        <w:pageBreakBefore w:val="0"/>
        <w:numPr>
          <w:ilvl w:val="0"/>
          <w:numId w:val="7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spacing w:before="93" w:beforeLines="30" w:after="93" w:afterLines="30" w:line="440" w:lineRule="exact"/>
        <w:ind w:left="0" w:leftChars="0" w:right="0" w:rightChars="0"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专业课程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主要包括专业基础课、专业核心课等。专业核心课是为实现本专业应用型人才培养目标而构建的系列课程，课程设置要参照教育部专业目录、专业规范和认证标准，结合本专业人才培养目标，进行有机整合与改造。</w:t>
      </w:r>
    </w:p>
    <w:p>
      <w:pPr>
        <w:keepNext w:val="0"/>
        <w:keepLines w:val="0"/>
        <w:pageBreakBefore w:val="0"/>
        <w:numPr>
          <w:ilvl w:val="0"/>
          <w:numId w:val="7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spacing w:before="93" w:beforeLines="30" w:after="93" w:afterLines="30" w:line="440" w:lineRule="exact"/>
        <w:ind w:left="0" w:leftChars="0" w:right="0" w:rightChars="0"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专业方向模块课程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专业方向模块课程设置要紧贴社会需求，根据招生规模及学生数合理设置。每个专业应设置1个以上专业方向模块，每个模块的课程单元应充分体现模块特征，各课程单元应保持相对独立，每个模块开设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-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门课程，且学分数必须相同。</w:t>
      </w:r>
    </w:p>
    <w:p>
      <w:pPr>
        <w:keepNext w:val="0"/>
        <w:keepLines w:val="0"/>
        <w:pageBreakBefore w:val="0"/>
        <w:numPr>
          <w:ilvl w:val="0"/>
          <w:numId w:val="7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spacing w:before="93" w:beforeLines="30" w:after="93" w:afterLines="30" w:line="440" w:lineRule="exact"/>
        <w:ind w:left="0" w:leftChars="0" w:right="0" w:rightChars="0"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专业任选课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0" w:beforeLines="0" w:after="0" w:afterLines="0" w:line="440" w:lineRule="exact"/>
        <w:ind w:left="0" w:leftChars="0" w:right="0" w:rightChars="0"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专业任选课为专业的拓展与延伸，原则上每个专业定为8学分，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需开设有一定数量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供学生选修的课程。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  <w:t>培养方案基本框架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培养目标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毕业要求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毕业要求支撑培养目标矩阵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毕业要求达成矩阵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表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主干学科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学制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、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学位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和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毕业学分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核心课程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课程结构与学分比例表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实践教学环节安排表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教学进度安排表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课程设置总表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其他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专业技能考级考证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及职业资格考证介绍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专业相关竞赛介绍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专业学习网站介绍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default" w:ascii="Times New Roman" w:hAnsi="Times New Roman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  <w:t>编制说明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培养目标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</w:rPr>
        <w:t>各专业人才培养目标要根据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学院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</w:rPr>
        <w:t>的人才培养定位，在对社会需求状况、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专业面向的行业专业岗位要求以及学生特点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</w:rPr>
        <w:t>等进行深入调研和论证的基础上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</w:rPr>
        <w:t>依据专业相关规范和标准制定。专业培养目标描述要具体精准，要适应社会经济发展，既应包括学生毕业时的要求，提出学生毕业后从事行业和适任的岗位，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更需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</w:rPr>
        <w:t>反映学生长期和短期在社会和专业领域的预期成就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</w:rPr>
        <w:t>培养目标的可达成性须为可判断的。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毕业要求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根据培养目标，对学生毕业时所应掌握的知识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能力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和素质的具体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描述。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毕业要求应易于分解为可衡量的若干指标点，便于进行毕业要求的达成度评价。毕业要求分解的关键是分解后的指标点清晰、明确、可衡量，易于收集证据并能够证明达成。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工科专业根据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工程教育专业认证的12条毕业要求制定。制定的毕业要求建议覆盖以下内容：(1)工程知识；(2)问题分析；(3)设计/开发解决方案；(4)研究；(5)使用现代工具；(6)工程与社会；(7)环境和可持续发展；(8)职业规范；(9)个人和团队；(10)沟通；(11)项目管理；(12)终身学习。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有其他专业认证标准的专业根据专业认证的毕业要求制定。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尚无专业认证标准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专业，可以根据行业标准和所调研的行业人才需求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参照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工程教育专业认证要求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确定毕业要求。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毕业要求支撑培养目标矩阵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表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9.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毕业要求支撑培养目标的矩阵表</w:t>
      </w:r>
    </w:p>
    <w:tbl>
      <w:tblPr>
        <w:tblStyle w:val="5"/>
        <w:tblW w:w="83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96"/>
        <w:gridCol w:w="1396"/>
        <w:gridCol w:w="1396"/>
        <w:gridCol w:w="1396"/>
        <w:gridCol w:w="1396"/>
        <w:gridCol w:w="1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毕业要求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培养目标1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培养目标2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培养目标3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培养目标4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培养目标5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毕业要求1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√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√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毕业要求2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√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√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毕业要求3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√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√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……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√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</w:trPr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……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√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√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毕业要求达成矩阵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毕业要求落实到相应的课程及教学环节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，指标点分解时采用递进关系，并有相应的课程进行支撑。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jc w:val="center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eastAsia="zh-CN"/>
        </w:rPr>
        <w:t>表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10.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毕业要求达成矩阵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表</w:t>
      </w:r>
    </w:p>
    <w:tbl>
      <w:tblPr>
        <w:tblStyle w:val="5"/>
        <w:tblW w:w="84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1"/>
        <w:gridCol w:w="3582"/>
        <w:gridCol w:w="25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毕业要求</w:t>
            </w:r>
          </w:p>
        </w:tc>
        <w:tc>
          <w:tcPr>
            <w:tcW w:w="3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指标点（可选）</w:t>
            </w:r>
          </w:p>
        </w:tc>
        <w:tc>
          <w:tcPr>
            <w:tcW w:w="2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相关教学活动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22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工程知识：熟练掌握基本的数学、物理基础知识，具有坚实的电磁场、电路、电子电路、信号分析处理、计算机软硬件等工程和专业基础及电子信息专业系统知识，并用于解决电子信息领域的复杂工程问题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3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 xml:space="preserve">1.1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掌握数学和物理科学基础知识，领会重要数学、物理思想方法</w:t>
            </w:r>
          </w:p>
        </w:tc>
        <w:tc>
          <w:tcPr>
            <w:tcW w:w="2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高等数学;线性代数;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概率论与数理统计、大学物理、电子工程数学方法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22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3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1.2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掌握工程基础知识，能够应用起基本概念、基本理论和基本方法分析实际问题</w:t>
            </w:r>
          </w:p>
        </w:tc>
        <w:tc>
          <w:tcPr>
            <w:tcW w:w="2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电路分析基础、模拟电路基础、信号系统、电磁场理论、计算机系统原理、软件技术基础、现代工程设计制图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22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3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1.3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掌握专业基础知识，能够针对电子信息工程问题进行分析与设计</w:t>
            </w:r>
          </w:p>
        </w:tc>
        <w:tc>
          <w:tcPr>
            <w:tcW w:w="2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数字信号处理、信息论与信息编码、随机信号分析、通信原理与系统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226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3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1.4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掌握电子信息专业知识，能够综合运用相关知识解决电子信息领域复杂工程问题</w:t>
            </w:r>
          </w:p>
        </w:tc>
        <w:tc>
          <w:tcPr>
            <w:tcW w:w="25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数字无线电系统基础、雷达原理与系统、微波技术与天线。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226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……</w:t>
            </w:r>
          </w:p>
        </w:tc>
        <w:tc>
          <w:tcPr>
            <w:tcW w:w="358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……</w:t>
            </w:r>
          </w:p>
        </w:tc>
        <w:tc>
          <w:tcPr>
            <w:tcW w:w="257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22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  <w:tc>
          <w:tcPr>
            <w:tcW w:w="3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……</w:t>
            </w:r>
          </w:p>
        </w:tc>
        <w:tc>
          <w:tcPr>
            <w:tcW w:w="2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highlight w:val="none"/>
                <w:u w:val="none"/>
                <w:shd w:val="clear" w:color="auto" w:fill="auto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主干学科</w:t>
      </w:r>
    </w:p>
    <w:p>
      <w:pPr>
        <w:autoSpaceDN w:val="0"/>
        <w:spacing w:line="312" w:lineRule="auto"/>
        <w:ind w:firstLine="480" w:firstLineChars="200"/>
        <w:jc w:val="left"/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</w:rPr>
        <w:t>各专业依托的一级学科名称</w:t>
      </w:r>
      <w:r>
        <w:rPr>
          <w:rFonts w:hint="eastAsia" w:ascii="宋体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，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一般为1-3个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依据教育部《普通高等学校本科专业目录》（2012年）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学制学位及毕业学分要求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1．学制：本科专业基本学制4年（专升本为2年），学习年限3-8年（专升本2-4年）。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2．授予学位：以教育部批准的为准。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3．本专业毕业学分：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核心课程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专业核心课程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5～8门左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右。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专业核心课程的简介应从以下几方面进行描述：</w:t>
      </w:r>
    </w:p>
    <w:p>
      <w:pPr>
        <w:pStyle w:val="3"/>
        <w:widowControl/>
        <w:adjustRightInd/>
        <w:snapToGrid/>
        <w:spacing w:before="0" w:beforeLines="0" w:beforeAutospacing="0" w:after="0" w:afterLines="0" w:afterAutospacing="0" w:line="440" w:lineRule="exact"/>
        <w:ind w:firstLine="480" w:firstLineChars="200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</w:rPr>
      </w:pP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4"/>
          <w:szCs w:val="24"/>
          <w:highlight w:val="none"/>
          <w:shd w:val="clear" w:color="auto" w:fill="auto"/>
        </w:rPr>
        <w:t>课程达成目标：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</w:rPr>
        <w:t>专业技能、专业知识等。</w:t>
      </w:r>
    </w:p>
    <w:p>
      <w:pPr>
        <w:pStyle w:val="3"/>
        <w:widowControl/>
        <w:adjustRightInd/>
        <w:snapToGrid/>
        <w:spacing w:before="0" w:beforeLines="0" w:beforeAutospacing="0" w:after="0" w:afterLines="0" w:afterAutospacing="0" w:line="440" w:lineRule="exact"/>
        <w:ind w:firstLine="480" w:firstLineChars="200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</w:rPr>
      </w:pP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4"/>
          <w:szCs w:val="24"/>
          <w:highlight w:val="none"/>
          <w:shd w:val="clear" w:color="auto" w:fill="auto"/>
        </w:rPr>
        <w:t>课程设置知识要求：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</w:rPr>
        <w:t>人文社会科学知识（外语、文学、哲学、发现、思想道德、职业道德……）、数学与自然科学知识、专业知识等。</w:t>
      </w:r>
    </w:p>
    <w:p>
      <w:pPr>
        <w:pStyle w:val="3"/>
        <w:widowControl/>
        <w:adjustRightInd/>
        <w:snapToGrid/>
        <w:spacing w:before="0" w:beforeLines="0" w:beforeAutospacing="0" w:after="0" w:afterLines="0" w:afterAutospacing="0" w:line="440" w:lineRule="exact"/>
        <w:ind w:firstLine="480" w:firstLineChars="200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</w:rPr>
      </w:pP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4"/>
          <w:szCs w:val="24"/>
          <w:highlight w:val="none"/>
          <w:shd w:val="clear" w:color="auto" w:fill="auto"/>
        </w:rPr>
        <w:t>课程设置能力要求：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</w:rPr>
        <w:t>信息获取与表达能力、自学能力、实践能力、创新思维能力、系统认知能力、系统开发能力、团队协作能力等。</w:t>
      </w:r>
    </w:p>
    <w:p>
      <w:pPr>
        <w:pStyle w:val="3"/>
        <w:widowControl/>
        <w:adjustRightInd/>
        <w:snapToGrid/>
        <w:spacing w:before="0" w:beforeLines="0" w:beforeAutospacing="0" w:after="0" w:afterLines="0" w:afterAutospacing="0" w:line="440" w:lineRule="exact"/>
        <w:ind w:firstLine="480" w:firstLineChars="200"/>
        <w:outlineLvl w:val="9"/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eastAsia="zh-CN"/>
        </w:rPr>
        <w:t>参见《高等教育质量监测国家数据平台数据填报指南》的要求。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课程结构与学分比例表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实践教学环节安排表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教学进度安排表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课程设置总表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其他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20" w:leftChars="200" w:right="0" w:rightChars="0" w:firstLine="0" w:firstLineChars="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1．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专业技能考级考证</w:t>
      </w: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及职业资格考证介绍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20" w:leftChars="200" w:right="0" w:rightChars="0" w:firstLine="0" w:firstLineChars="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2．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专业相关竞赛介绍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20" w:leftChars="200" w:right="0" w:rightChars="0" w:firstLine="0" w:firstLineChars="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3．</w:t>
      </w:r>
      <w:r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  <w:t>专业学习网站介绍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20" w:leftChars="200" w:right="0" w:rightChars="0" w:firstLine="0" w:firstLineChars="0"/>
        <w:jc w:val="both"/>
        <w:textAlignment w:val="auto"/>
        <w:outlineLvl w:val="9"/>
        <w:rPr>
          <w:rFonts w:hint="default" w:ascii="Times New Roman" w:hAnsi="Times New Roman"/>
          <w:color w:val="auto"/>
          <w:szCs w:val="22"/>
          <w:highlight w:val="none"/>
          <w:shd w:val="clear" w:color="auto" w:fill="auto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default" w:ascii="Times New Roman" w:hAnsi="Times New Roman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/>
          <w:b/>
          <w:bCs/>
          <w:color w:val="auto"/>
          <w:szCs w:val="22"/>
          <w:highlight w:val="none"/>
          <w:shd w:val="clear" w:color="auto" w:fill="auto"/>
          <w:lang w:val="en-US" w:eastAsia="zh-CN"/>
        </w:rPr>
        <w:t>专升本专业培养方案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Times New Roman" w:hAnsi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学制学位及毕业学分要求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1．学制：专升本基本学制为2年，学习年限2-4年。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2．授予学位：以教育部批准的为准。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3．本专业毕业最低学分要求：专升本专业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控制在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75—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80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学分。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Times New Roman" w:hAnsi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课程结构体系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专升本专业教学内容和教学要求应根据现设相同的本科专业设置，课程体系包含通识教育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课程和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专业教育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课程两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大平台。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要求通识必修外语类课程4学分；通识选修课程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学分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 w:color="auto" w:fill="auto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hint="default" w:ascii="Times New Roman" w:hAnsi="Times New Roman" w:eastAsia="楷体_GB2312" w:cs="Times New Roman"/>
          <w:b/>
          <w:bCs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br w:type="page"/>
      </w:r>
      <w:r>
        <w:rPr>
          <w:rFonts w:hint="eastAsia" w:ascii="Times New Roman" w:hAnsi="Times New Roman" w:eastAsia="楷体_GB2312" w:cs="Times New Roman"/>
          <w:b/>
          <w:bCs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附录：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一、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工学专业毕业要求基本标准：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1.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工程知识：能够将数学、自然科学、工程基础和专业知识用于解决复杂工程问题。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2.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问题分析：能够应用数学、自然科学和工程科学的基本原理，识别、表达、并通过文献研究分析复杂工程问题，以获得有效结论。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3.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设计</w:t>
      </w: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/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开发解决方案：能够设计针对复杂工程问题的解决方案，设计满足特定需求的系统、单元（部件）或工艺流程，并能够在设计环节中体现创新意识，考虑社会、健康、安全、法律、文化以及环境等因素。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4.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研究：能够基于科学原理并采用科学方法对复杂工程问题进行研究，包括设计实验、分析与解释数据、并通过信息综合得到合理有效的结论。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5.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使用现代工具：能够针对复杂工程问题，开发、选择与使用恰当的技术、资源、现代工程工具和信息技术工具，包括对复杂工程问题的预测与模拟，并能够理解其局限性。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6.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工程与社会：能够基于工程相关背景知识进行合理分析，评价专业工程实践和复杂工程问题解决方案对社会、健康、安全、法律以及文化的影响，并理解应承担的责任。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7.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环境和可持续发展：能够理解和评价针对复杂工程问题的专业工程实践对环境、社会可持续发展的影响。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8.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职业规范：具有人文社会科学素养、社会责任感，能够在工程实践中理解并遵守工程职业道德和规范，履行责任。</w:t>
      </w: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9.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个人和团队：能够在多学科背景下的团队中承担个体、团队成员以及负责人的角色。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10.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11.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项目管理：理解并掌握工程管理原理与经济决策方法，并能在多学科环境中应用。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0" w:rightChars="0"/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</w:pPr>
      <w:r>
        <w:rPr>
          <w:rFonts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12.</w:t>
      </w:r>
      <w:r>
        <w:rPr>
          <w:rFonts w:hint="default" w:ascii="Times New Roman" w:hAnsi="Times New Roman" w:eastAsia="楷体_GB2312" w:cs="Times New Roman"/>
          <w:color w:val="auto"/>
          <w:kern w:val="0"/>
          <w:sz w:val="24"/>
          <w:szCs w:val="24"/>
          <w:highlight w:val="none"/>
          <w:shd w:val="clear" w:color="auto" w:fill="auto"/>
        </w:rPr>
        <w:t>终身学习：具有自主学习和终身学习的意识，有不断学习和适应发展的能力。</w:t>
      </w:r>
    </w:p>
    <w:p>
      <w:pPr>
        <w:rPr>
          <w:rFonts w:ascii="Times New Roman" w:hAnsi="Times New Roman"/>
          <w:color w:val="auto"/>
          <w:highlight w:val="none"/>
          <w:shd w:val="clear" w:color="auto" w:fill="auto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D5BF1"/>
    <w:multiLevelType w:val="singleLevel"/>
    <w:tmpl w:val="5A1D5BF1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5A1D721C"/>
    <w:multiLevelType w:val="singleLevel"/>
    <w:tmpl w:val="5A1D721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5A1E19EE"/>
    <w:multiLevelType w:val="singleLevel"/>
    <w:tmpl w:val="5A1E19EE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5A1E53CE"/>
    <w:multiLevelType w:val="singleLevel"/>
    <w:tmpl w:val="5A1E53CE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5A1E53E3"/>
    <w:multiLevelType w:val="singleLevel"/>
    <w:tmpl w:val="5A1E53E3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>
    <w:nsid w:val="5A1E6BEE"/>
    <w:multiLevelType w:val="singleLevel"/>
    <w:tmpl w:val="5A1E6BEE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6">
    <w:nsid w:val="5A1EADD2"/>
    <w:multiLevelType w:val="singleLevel"/>
    <w:tmpl w:val="5A1EADD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7">
    <w:nsid w:val="5A1EB9A7"/>
    <w:multiLevelType w:val="singleLevel"/>
    <w:tmpl w:val="5A1EB9A7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8">
    <w:nsid w:val="5A31D449"/>
    <w:multiLevelType w:val="singleLevel"/>
    <w:tmpl w:val="5A31D449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9">
    <w:nsid w:val="5A32800D"/>
    <w:multiLevelType w:val="singleLevel"/>
    <w:tmpl w:val="5A32800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0">
    <w:nsid w:val="5A3682DB"/>
    <w:multiLevelType w:val="singleLevel"/>
    <w:tmpl w:val="5A3682D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5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53550A"/>
    <w:rsid w:val="012C34F1"/>
    <w:rsid w:val="022C68A6"/>
    <w:rsid w:val="3F53550A"/>
    <w:rsid w:val="411E17E8"/>
    <w:rsid w:val="6CDA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正文二"/>
    <w:basedOn w:val="8"/>
    <w:qFormat/>
    <w:uiPriority w:val="0"/>
    <w:pPr>
      <w:ind w:firstLine="340"/>
    </w:pPr>
  </w:style>
  <w:style w:type="paragraph" w:customStyle="1" w:styleId="8">
    <w:name w:val="正文一"/>
    <w:basedOn w:val="1"/>
    <w:qFormat/>
    <w:uiPriority w:val="0"/>
    <w:pPr>
      <w:spacing w:line="400" w:lineRule="atLeast"/>
      <w:ind w:firstLine="482"/>
    </w:pPr>
    <w:rPr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2017-12-26T00:54:00Z</dcterms:created>
  <dc:creator>悠然一笑</dc:creator>
  <cp:lastModifiedBy>悠然一笑</cp:lastModifiedBy>
  <cp:lastPrinted>2018-01-23T00:57:00Z</cp:lastPrinted>
  <dcterms:modified xsi:type="dcterms:W3CDTF">2018-01-24T02:48:19Z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