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Times New Roman" w:hAnsi="Times New Roman" w:eastAsia="黑体" w:cs="Times New Roman"/>
          <w:b w:val="0"/>
          <w:bCs/>
          <w:sz w:val="22"/>
          <w:szCs w:val="22"/>
          <w:lang w:eastAsia="zh-CN"/>
        </w:rPr>
      </w:pPr>
      <w:bookmarkStart w:id="0" w:name="_GoBack"/>
      <w:r>
        <w:rPr>
          <w:rFonts w:hint="eastAsia" w:ascii="Times New Roman" w:hAnsi="Times New Roman" w:eastAsia="黑体" w:cs="Times New Roman"/>
          <w:b w:val="0"/>
          <w:bCs/>
          <w:sz w:val="22"/>
          <w:szCs w:val="22"/>
          <w:lang w:eastAsia="zh-CN"/>
        </w:rPr>
        <w:t>附件</w:t>
      </w:r>
      <w:r>
        <w:rPr>
          <w:rFonts w:hint="eastAsia" w:ascii="Times New Roman" w:hAnsi="Times New Roman" w:eastAsia="黑体" w:cs="Times New Roman"/>
          <w:b w:val="0"/>
          <w:bCs/>
          <w:sz w:val="22"/>
          <w:szCs w:val="22"/>
          <w:lang w:val="en-US" w:eastAsia="zh-CN"/>
        </w:rPr>
        <w:t>3</w:t>
      </w:r>
    </w:p>
    <w:bookmarkEnd w:id="0"/>
    <w:p>
      <w:pPr>
        <w:jc w:val="center"/>
        <w:rPr>
          <w:rFonts w:hint="default" w:ascii="Times New Roman" w:hAnsi="Times New Roman" w:eastAsia="黑体" w:cs="Times New Roman"/>
          <w:b/>
          <w:sz w:val="28"/>
          <w:szCs w:val="28"/>
        </w:rPr>
      </w:pPr>
      <w:r>
        <w:rPr>
          <w:rFonts w:hint="default" w:ascii="Times New Roman" w:hAnsi="Times New Roman" w:eastAsia="黑体" w:cs="Times New Roman"/>
          <w:b/>
          <w:sz w:val="28"/>
          <w:szCs w:val="28"/>
        </w:rPr>
        <w:t>绍兴文理学院元培学院本科专业人才培养方案</w:t>
      </w:r>
    </w:p>
    <w:p>
      <w:pPr>
        <w:jc w:val="center"/>
        <w:rPr>
          <w:rFonts w:hint="default" w:ascii="Times New Roman" w:hAnsi="Times New Roman" w:eastAsia="黑体" w:cs="Times New Roman"/>
          <w:b/>
          <w:sz w:val="28"/>
          <w:szCs w:val="28"/>
        </w:rPr>
      </w:pPr>
      <w:r>
        <w:rPr>
          <w:rFonts w:hint="default" w:ascii="Times New Roman" w:hAnsi="Times New Roman" w:eastAsia="黑体" w:cs="Times New Roman"/>
          <w:b/>
          <w:sz w:val="28"/>
          <w:szCs w:val="28"/>
        </w:rPr>
        <w:t>课程编号编制办法</w:t>
      </w:r>
    </w:p>
    <w:p>
      <w:pPr>
        <w:jc w:val="center"/>
        <w:rPr>
          <w:rFonts w:hint="default" w:ascii="Times New Roman" w:hAnsi="Times New Roman" w:cs="Times New Roman"/>
        </w:rPr>
      </w:pP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为加强课程的规范化管理，做好本科专业人才培养方案中课程编号的组织与管理工作，对课程编号作如下规定。</w:t>
      </w:r>
    </w:p>
    <w:p>
      <w:pPr>
        <w:spacing w:before="156" w:beforeLines="50" w:after="156" w:afterLines="50" w:line="360" w:lineRule="auto"/>
        <w:ind w:firstLine="480" w:firstLineChars="200"/>
        <w:rPr>
          <w:rFonts w:hint="default" w:ascii="Times New Roman" w:hAnsi="Times New Roman" w:eastAsia="黑体" w:cs="Times New Roman"/>
          <w:sz w:val="24"/>
          <w:szCs w:val="24"/>
        </w:rPr>
      </w:pPr>
      <w:r>
        <w:rPr>
          <w:rFonts w:hint="default" w:ascii="Times New Roman" w:hAnsi="Times New Roman" w:eastAsia="黑体" w:cs="Times New Roman"/>
          <w:sz w:val="24"/>
          <w:szCs w:val="24"/>
        </w:rPr>
        <w:t>一、课程及课程编号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课程是指专业人才培养方案规定的各类课程和教育教学环节。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课程名称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要规范统一，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同名课程面向不同类学生时开设时可以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在课程名称后加大字母A、B、C、D等加以区别，A为难度大、多学时的课程，B次之。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同名课程多学期开设可以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在课程名称后用Ⅰ、Ⅱ等表示。</w:t>
      </w:r>
    </w:p>
    <w:p>
      <w:pPr>
        <w:spacing w:before="156" w:beforeLines="50" w:after="156" w:afterLines="50" w:line="360" w:lineRule="auto"/>
        <w:ind w:firstLine="480" w:firstLineChars="200"/>
        <w:rPr>
          <w:rFonts w:hint="default" w:ascii="Times New Roman" w:hAnsi="Times New Roman" w:eastAsia="黑体" w:cs="Times New Roman"/>
          <w:sz w:val="24"/>
          <w:szCs w:val="24"/>
        </w:rPr>
      </w:pPr>
      <w:r>
        <w:rPr>
          <w:rFonts w:hint="default" w:ascii="Times New Roman" w:hAnsi="Times New Roman" w:eastAsia="黑体" w:cs="Times New Roman"/>
          <w:sz w:val="24"/>
          <w:szCs w:val="24"/>
        </w:rPr>
        <w:t>二、课程编号的编制原则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课程编号由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分院</w:t>
      </w:r>
      <w:r>
        <w:rPr>
          <w:rFonts w:hint="default" w:ascii="Times New Roman" w:hAnsi="Times New Roman" w:cs="Times New Roman"/>
          <w:sz w:val="24"/>
          <w:szCs w:val="24"/>
        </w:rPr>
        <w:t>编号、年份编号、学期编号、课程序列号等四部分构成。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一般情况下课程名称、课程学分和课程学时都相同的课程使用相同课程编号。</w:t>
      </w:r>
      <w:r>
        <w:rPr>
          <w:rFonts w:hint="default" w:ascii="Times New Roman" w:hAnsi="Times New Roman" w:cs="Times New Roman"/>
          <w:sz w:val="24"/>
          <w:szCs w:val="24"/>
        </w:rPr>
        <w:t>每个课程编号由 7 位阿拉伯数字组成。具体如下：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1．第1、2位为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分院</w:t>
      </w:r>
      <w:r>
        <w:rPr>
          <w:rFonts w:hint="default" w:ascii="Times New Roman" w:hAnsi="Times New Roman" w:cs="Times New Roman"/>
          <w:sz w:val="24"/>
          <w:szCs w:val="24"/>
        </w:rPr>
        <w:t>编号（见附件 1）。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2．第 3位为年份编号，在201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8</w:t>
      </w:r>
      <w:r>
        <w:rPr>
          <w:rFonts w:hint="default" w:ascii="Times New Roman" w:hAnsi="Times New Roman" w:cs="Times New Roman"/>
          <w:sz w:val="24"/>
          <w:szCs w:val="24"/>
        </w:rPr>
        <w:t>版专业人才培养方案中，年份编号为“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8</w:t>
      </w:r>
      <w:r>
        <w:rPr>
          <w:rFonts w:hint="default" w:ascii="Times New Roman" w:hAnsi="Times New Roman" w:cs="Times New Roman"/>
          <w:sz w:val="24"/>
          <w:szCs w:val="24"/>
        </w:rPr>
        <w:t>” 。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3．第4 位为学期编号，根据该门课程教学所需的学期数而定。该门课程教学只需一个学期的，学期编号为“0”；该门课程教学需要二个学期的，则学期编号分别为“1”、“2”；该门课程教学需要三个学期的，则学期编号分别为“1”、“2”、“3”；以此类推。课程名称中的阿拉伯数字与学期编号相对应。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</w:rPr>
        <w:t>4．第5、6、7位为课程序列号（001—999），不同课程应有不同序列号。</w:t>
      </w:r>
    </w:p>
    <w:p>
      <w:pPr>
        <w:numPr>
          <w:ilvl w:val="0"/>
          <w:numId w:val="1"/>
        </w:num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</w:rPr>
        <w:t>同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分院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不同专业的相同课程名称的集中组织的实践教学环节使用不同的课</w:t>
      </w:r>
      <w:r>
        <w:rPr>
          <w:rFonts w:hint="default" w:ascii="Times New Roman" w:hAnsi="Times New Roman" w:cs="Times New Roman"/>
          <w:sz w:val="24"/>
          <w:szCs w:val="24"/>
        </w:rPr>
        <w:t>程序列号以示区分。</w:t>
      </w:r>
    </w:p>
    <w:tbl>
      <w:tblPr>
        <w:tblStyle w:val="5"/>
        <w:tblW w:w="8456" w:type="dxa"/>
        <w:tblInd w:w="0" w:type="dxa"/>
        <w:tblBorders>
          <w:top w:val="thinThickSmallGap" w:color="auto" w:sz="12" w:space="0"/>
          <w:left w:val="thinThickSmallGap" w:color="auto" w:sz="12" w:space="0"/>
          <w:bottom w:val="thinThickSmallGap" w:color="auto" w:sz="12" w:space="0"/>
          <w:right w:val="thinThickSmallGap" w:color="auto" w:sz="12" w:space="0"/>
          <w:insideH w:val="thinThickSmallGap" w:color="auto" w:sz="12" w:space="0"/>
          <w:insideV w:val="thinThickSmallGap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7"/>
        <w:gridCol w:w="1208"/>
        <w:gridCol w:w="1208"/>
        <w:gridCol w:w="1208"/>
        <w:gridCol w:w="1208"/>
        <w:gridCol w:w="1208"/>
        <w:gridCol w:w="1209"/>
      </w:tblGrid>
      <w:tr>
        <w:tblPrEx>
          <w:tblBorders>
            <w:top w:val="thinThickSmallGap" w:color="auto" w:sz="12" w:space="0"/>
            <w:left w:val="thinThickSmallGap" w:color="auto" w:sz="12" w:space="0"/>
            <w:bottom w:val="thinThickSmallGap" w:color="auto" w:sz="12" w:space="0"/>
            <w:right w:val="thinThickSmallGap" w:color="auto" w:sz="12" w:space="0"/>
            <w:insideH w:val="thinThickSmallGap" w:color="auto" w:sz="12" w:space="0"/>
            <w:insideV w:val="thinThickSmallGap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2415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学院（部门）编号</w:t>
            </w:r>
          </w:p>
        </w:tc>
        <w:tc>
          <w:tcPr>
            <w:tcW w:w="1208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年份编号</w:t>
            </w:r>
          </w:p>
        </w:tc>
        <w:tc>
          <w:tcPr>
            <w:tcW w:w="1208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学期编号</w:t>
            </w:r>
          </w:p>
        </w:tc>
        <w:tc>
          <w:tcPr>
            <w:tcW w:w="3625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课程序列号</w:t>
            </w:r>
          </w:p>
        </w:tc>
      </w:tr>
      <w:tr>
        <w:tblPrEx>
          <w:tblBorders>
            <w:top w:val="thinThickSmallGap" w:color="auto" w:sz="12" w:space="0"/>
            <w:left w:val="thinThickSmallGap" w:color="auto" w:sz="12" w:space="0"/>
            <w:bottom w:val="thinThickSmallGap" w:color="auto" w:sz="12" w:space="0"/>
            <w:right w:val="thinThickSmallGap" w:color="auto" w:sz="12" w:space="0"/>
            <w:insideH w:val="thinThickSmallGap" w:color="auto" w:sz="12" w:space="0"/>
            <w:insideV w:val="thinThickSmallGap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207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</w:t>
            </w:r>
          </w:p>
        </w:tc>
        <w:tc>
          <w:tcPr>
            <w:tcW w:w="1208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</w:t>
            </w:r>
          </w:p>
        </w:tc>
        <w:tc>
          <w:tcPr>
            <w:tcW w:w="1208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3</w:t>
            </w:r>
          </w:p>
        </w:tc>
        <w:tc>
          <w:tcPr>
            <w:tcW w:w="1208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4</w:t>
            </w:r>
          </w:p>
        </w:tc>
        <w:tc>
          <w:tcPr>
            <w:tcW w:w="1208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5</w:t>
            </w:r>
          </w:p>
        </w:tc>
        <w:tc>
          <w:tcPr>
            <w:tcW w:w="1208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6</w:t>
            </w:r>
          </w:p>
        </w:tc>
        <w:tc>
          <w:tcPr>
            <w:tcW w:w="1209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7</w:t>
            </w:r>
          </w:p>
        </w:tc>
      </w:tr>
    </w:tbl>
    <w:p>
      <w:pPr>
        <w:spacing w:before="156" w:beforeLines="50" w:after="156" w:afterLines="50" w:line="360" w:lineRule="auto"/>
        <w:ind w:firstLine="480" w:firstLineChars="200"/>
        <w:rPr>
          <w:rFonts w:hint="default" w:ascii="Times New Roman" w:hAnsi="Times New Roman" w:eastAsia="黑体" w:cs="Times New Roman"/>
          <w:sz w:val="24"/>
          <w:szCs w:val="24"/>
        </w:rPr>
      </w:pPr>
    </w:p>
    <w:p>
      <w:pPr>
        <w:spacing w:before="156" w:beforeLines="50" w:after="156" w:afterLines="50" w:line="360" w:lineRule="auto"/>
        <w:ind w:firstLine="480" w:firstLineChars="200"/>
        <w:rPr>
          <w:rFonts w:hint="default" w:ascii="Times New Roman" w:hAnsi="Times New Roman" w:eastAsia="黑体" w:cs="Times New Roman"/>
          <w:sz w:val="24"/>
          <w:szCs w:val="24"/>
        </w:rPr>
      </w:pPr>
      <w:r>
        <w:rPr>
          <w:rFonts w:hint="default" w:ascii="Times New Roman" w:hAnsi="Times New Roman" w:eastAsia="黑体" w:cs="Times New Roman"/>
          <w:sz w:val="24"/>
          <w:szCs w:val="24"/>
        </w:rPr>
        <w:t>三、课程编号的管理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cs="Times New Roman"/>
          <w:sz w:val="24"/>
          <w:szCs w:val="24"/>
        </w:rPr>
        <w:t>1．课程编号管理按照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“老课程老编号，新增课程新编号”</w:t>
      </w:r>
      <w:r>
        <w:rPr>
          <w:rFonts w:hint="default" w:ascii="Times New Roman" w:hAnsi="Times New Roman" w:cs="Times New Roman"/>
          <w:sz w:val="24"/>
          <w:szCs w:val="24"/>
        </w:rPr>
        <w:t>的原则。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通识教育</w:t>
      </w:r>
      <w:r>
        <w:rPr>
          <w:rFonts w:hint="default" w:ascii="Times New Roman" w:hAnsi="Times New Roman" w:cs="Times New Roman"/>
          <w:sz w:val="24"/>
          <w:szCs w:val="24"/>
        </w:rPr>
        <w:t>课程编号按照《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绍兴文理学院元培学院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2018版专业人才培养方案制订工作指导意见</w:t>
      </w:r>
      <w:r>
        <w:rPr>
          <w:rFonts w:hint="default" w:ascii="Times New Roman" w:hAnsi="Times New Roman" w:cs="Times New Roman"/>
          <w:sz w:val="24"/>
          <w:szCs w:val="24"/>
        </w:rPr>
        <w:t>》要求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通识教育课程</w:t>
      </w:r>
      <w:r>
        <w:rPr>
          <w:rFonts w:hint="default" w:ascii="Times New Roman" w:hAnsi="Times New Roman" w:cs="Times New Roman"/>
          <w:sz w:val="24"/>
          <w:szCs w:val="24"/>
        </w:rPr>
        <w:t>由教务处负责管理；其余课程由各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分院</w:t>
      </w:r>
      <w:r>
        <w:rPr>
          <w:rFonts w:hint="default" w:ascii="Times New Roman" w:hAnsi="Times New Roman" w:cs="Times New Roman"/>
          <w:sz w:val="24"/>
          <w:szCs w:val="24"/>
        </w:rPr>
        <w:t>根据课程编号编制办法自行编制使用，并落实专人负责课程编号编制及管理工作。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附件：绍兴文理学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院元培学院各分院（部）编号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</w:p>
    <w:p>
      <w:pPr>
        <w:spacing w:line="360" w:lineRule="auto"/>
        <w:ind w:right="480"/>
        <w:jc w:val="righ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教务处</w:t>
      </w:r>
    </w:p>
    <w:p>
      <w:pPr>
        <w:widowControl/>
        <w:jc w:val="right"/>
        <w:rPr>
          <w:rFonts w:hint="default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2017年12月21日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附件1</w:t>
      </w:r>
    </w:p>
    <w:p>
      <w:pPr>
        <w:jc w:val="center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绍兴文理学院元培学院各</w:t>
      </w:r>
      <w:r>
        <w:rPr>
          <w:rFonts w:hint="default" w:ascii="Times New Roman" w:hAnsi="Times New Roman" w:cs="Times New Roman"/>
          <w:b/>
          <w:sz w:val="28"/>
          <w:szCs w:val="28"/>
          <w:lang w:eastAsia="zh-CN"/>
        </w:rPr>
        <w:t>分院</w:t>
      </w:r>
      <w:r>
        <w:rPr>
          <w:rFonts w:hint="default" w:ascii="Times New Roman" w:hAnsi="Times New Roman" w:cs="Times New Roman"/>
          <w:b/>
          <w:sz w:val="28"/>
          <w:szCs w:val="28"/>
        </w:rPr>
        <w:t>（部）编号</w:t>
      </w:r>
    </w:p>
    <w:tbl>
      <w:tblPr>
        <w:tblStyle w:val="5"/>
        <w:tblW w:w="8340" w:type="dxa"/>
        <w:jc w:val="center"/>
        <w:tblInd w:w="0" w:type="dxa"/>
        <w:tblBorders>
          <w:top w:val="thinThickSmallGap" w:color="auto" w:sz="12" w:space="0"/>
          <w:left w:val="thinThickSmallGap" w:color="auto" w:sz="12" w:space="0"/>
          <w:bottom w:val="thinThickSmallGap" w:color="auto" w:sz="12" w:space="0"/>
          <w:right w:val="thinThickSmallGap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78"/>
        <w:gridCol w:w="4162"/>
      </w:tblGrid>
      <w:tr>
        <w:tblPrEx>
          <w:tblBorders>
            <w:top w:val="thinThickSmallGap" w:color="auto" w:sz="12" w:space="0"/>
            <w:left w:val="thinThick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4178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  <w:lang w:eastAsia="zh-CN"/>
              </w:rPr>
              <w:t>分院</w:t>
            </w:r>
            <w:r>
              <w:rPr>
                <w:rFonts w:hint="default" w:ascii="Times New Roman" w:hAnsi="Times New Roman" w:cs="Times New Roman"/>
                <w:b/>
                <w:bCs/>
              </w:rPr>
              <w:t>名称</w:t>
            </w:r>
          </w:p>
        </w:tc>
        <w:tc>
          <w:tcPr>
            <w:tcW w:w="4162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lang w:eastAsia="zh-CN"/>
              </w:rPr>
              <w:t>分院</w:t>
            </w:r>
            <w:r>
              <w:rPr>
                <w:rFonts w:hint="default" w:ascii="Times New Roman" w:hAnsi="Times New Roman" w:cs="Times New Roman"/>
                <w:b/>
                <w:bCs/>
              </w:rPr>
              <w:t>编号</w:t>
            </w:r>
          </w:p>
        </w:tc>
      </w:tr>
      <w:tr>
        <w:tblPrEx>
          <w:tblBorders>
            <w:top w:val="thinThickSmallGap" w:color="auto" w:sz="12" w:space="0"/>
            <w:left w:val="thinThick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4178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经济管理分院</w:t>
            </w:r>
          </w:p>
        </w:tc>
        <w:tc>
          <w:tcPr>
            <w:tcW w:w="416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</w:rPr>
              <w:t>10</w:t>
            </w:r>
          </w:p>
        </w:tc>
      </w:tr>
      <w:tr>
        <w:tblPrEx>
          <w:tblBorders>
            <w:top w:val="thinThickSmallGap" w:color="auto" w:sz="12" w:space="0"/>
            <w:left w:val="thinThick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4178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lang w:eastAsia="zh-CN"/>
              </w:rPr>
            </w:pPr>
            <w:r>
              <w:rPr>
                <w:rFonts w:hint="default" w:ascii="Times New Roman" w:hAnsi="Times New Roman" w:cs="Times New Roman"/>
                <w:lang w:eastAsia="zh-CN"/>
              </w:rPr>
              <w:t>语言文学分院</w:t>
            </w:r>
          </w:p>
        </w:tc>
        <w:tc>
          <w:tcPr>
            <w:tcW w:w="4162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</w:rPr>
              <w:t>11</w:t>
            </w:r>
          </w:p>
        </w:tc>
      </w:tr>
      <w:tr>
        <w:tblPrEx>
          <w:tblBorders>
            <w:top w:val="thinThickSmallGap" w:color="auto" w:sz="12" w:space="0"/>
            <w:left w:val="thinThick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4178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信息与机电工程分院</w:t>
            </w:r>
          </w:p>
        </w:tc>
        <w:tc>
          <w:tcPr>
            <w:tcW w:w="416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</w:rPr>
              <w:t>12</w:t>
            </w:r>
          </w:p>
        </w:tc>
      </w:tr>
      <w:tr>
        <w:tblPrEx>
          <w:tblBorders>
            <w:top w:val="thinThickSmallGap" w:color="auto" w:sz="12" w:space="0"/>
            <w:left w:val="thinThick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4178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马克思主义分院</w:t>
            </w:r>
          </w:p>
        </w:tc>
        <w:tc>
          <w:tcPr>
            <w:tcW w:w="416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</w:rPr>
              <w:t>13</w:t>
            </w:r>
          </w:p>
        </w:tc>
      </w:tr>
      <w:tr>
        <w:tblPrEx>
          <w:tblBorders>
            <w:top w:val="thinThickSmallGap" w:color="auto" w:sz="12" w:space="0"/>
            <w:left w:val="thinThick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4178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医药与健康分院</w:t>
            </w:r>
          </w:p>
        </w:tc>
        <w:tc>
          <w:tcPr>
            <w:tcW w:w="416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</w:rPr>
              <w:t>15</w:t>
            </w:r>
          </w:p>
        </w:tc>
      </w:tr>
      <w:tr>
        <w:tblPrEx>
          <w:tblBorders>
            <w:top w:val="thinThickSmallGap" w:color="auto" w:sz="12" w:space="0"/>
            <w:left w:val="thinThick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4178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公共基础教育分院</w:t>
            </w:r>
          </w:p>
        </w:tc>
        <w:tc>
          <w:tcPr>
            <w:tcW w:w="416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</w:rPr>
              <w:t>1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>6</w:t>
            </w:r>
          </w:p>
        </w:tc>
      </w:tr>
      <w:tr>
        <w:tblPrEx>
          <w:tblBorders>
            <w:top w:val="thinThickSmallGap" w:color="auto" w:sz="12" w:space="0"/>
            <w:left w:val="thinThick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4178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建筑工程</w:t>
            </w:r>
            <w:r>
              <w:rPr>
                <w:rFonts w:hint="default" w:ascii="Times New Roman" w:hAnsi="Times New Roman" w:cs="Times New Roman"/>
                <w:lang w:eastAsia="zh-CN"/>
              </w:rPr>
              <w:t>分院</w:t>
            </w:r>
          </w:p>
        </w:tc>
        <w:tc>
          <w:tcPr>
            <w:tcW w:w="416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</w:rPr>
              <w:t>17</w:t>
            </w:r>
          </w:p>
        </w:tc>
      </w:tr>
      <w:tr>
        <w:tblPrEx>
          <w:tblBorders>
            <w:top w:val="thinThickSmallGap" w:color="auto" w:sz="12" w:space="0"/>
            <w:left w:val="thinThick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4178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0000FF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纺织服装与艺术设计分院</w:t>
            </w:r>
          </w:p>
        </w:tc>
        <w:tc>
          <w:tcPr>
            <w:tcW w:w="4162" w:type="dxa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color w:val="0000FF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</w:rPr>
              <w:t>20</w:t>
            </w:r>
          </w:p>
        </w:tc>
      </w:tr>
    </w:tbl>
    <w:p>
      <w:pPr>
        <w:rPr>
          <w:rFonts w:hint="default" w:ascii="Times New Roman" w:hAnsi="Times New Roman" w:cs="Times New Roman"/>
        </w:rPr>
      </w:pPr>
    </w:p>
    <w:p>
      <w:pPr>
        <w:widowControl/>
        <w:jc w:val="left"/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Bookshelf Symbol 7">
    <w:panose1 w:val="05010101010101010101"/>
    <w:charset w:val="02"/>
    <w:family w:val="auto"/>
    <w:pitch w:val="default"/>
    <w:sig w:usb0="00000000" w:usb1="00000000" w:usb2="00000000" w:usb3="00000000" w:csb0="8000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2000019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宋体-PUA">
    <w:altName w:val="宋体"/>
    <w:panose1 w:val="02010600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3B760E"/>
    <w:multiLevelType w:val="singleLevel"/>
    <w:tmpl w:val="5A3B760E"/>
    <w:lvl w:ilvl="0" w:tentative="0">
      <w:start w:val="5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E05029"/>
    <w:rsid w:val="18FA1261"/>
    <w:rsid w:val="2D2174FE"/>
    <w:rsid w:val="4745617A"/>
    <w:rsid w:val="47DA3075"/>
    <w:rsid w:val="4CD63C23"/>
    <w:rsid w:val="50154C8F"/>
    <w:rsid w:val="57E05029"/>
    <w:rsid w:val="5FE2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2017-12-18T06:33:00Z</dcterms:created>
  <dc:creator>悠然一笑</dc:creator>
  <cp:lastModifiedBy>悠然一笑</cp:lastModifiedBy>
  <cp:lastPrinted>2018-01-24T05:28:06Z</cp:lastPrinted>
  <dcterms:modified xsi:type="dcterms:W3CDTF">2018-01-24T05:29:57Z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