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DC" w:rsidRDefault="00440ADC" w:rsidP="00440ADC">
      <w:pPr>
        <w:spacing w:line="520" w:lineRule="exact"/>
        <w:jc w:val="center"/>
        <w:rPr>
          <w:rFonts w:ascii="宋体" w:hAnsi="宋体"/>
          <w:b/>
          <w:sz w:val="44"/>
          <w:szCs w:val="44"/>
        </w:rPr>
      </w:pPr>
    </w:p>
    <w:p w:rsidR="00440ADC" w:rsidRDefault="00440ADC" w:rsidP="00440ADC">
      <w:pPr>
        <w:spacing w:line="520" w:lineRule="exact"/>
        <w:jc w:val="center"/>
        <w:rPr>
          <w:rFonts w:ascii="宋体" w:hAnsi="宋体"/>
          <w:b/>
          <w:sz w:val="44"/>
          <w:szCs w:val="44"/>
        </w:rPr>
      </w:pPr>
    </w:p>
    <w:p w:rsidR="00440ADC" w:rsidRDefault="00440ADC" w:rsidP="00440ADC">
      <w:pPr>
        <w:spacing w:line="520" w:lineRule="exact"/>
        <w:rPr>
          <w:rFonts w:ascii="宋体" w:hAnsi="宋体"/>
          <w:b/>
          <w:sz w:val="44"/>
          <w:szCs w:val="44"/>
        </w:rPr>
      </w:pPr>
    </w:p>
    <w:p w:rsidR="00440ADC" w:rsidRDefault="00440ADC" w:rsidP="00440ADC">
      <w:pPr>
        <w:spacing w:line="520" w:lineRule="exact"/>
        <w:rPr>
          <w:rFonts w:ascii="宋体" w:hAnsi="宋体"/>
          <w:b/>
          <w:sz w:val="44"/>
          <w:szCs w:val="44"/>
        </w:rPr>
      </w:pPr>
    </w:p>
    <w:p w:rsidR="00440ADC" w:rsidRDefault="00440ADC" w:rsidP="00440ADC">
      <w:pPr>
        <w:spacing w:line="520" w:lineRule="exact"/>
        <w:rPr>
          <w:rFonts w:ascii="宋体" w:hAnsi="宋体"/>
          <w:b/>
          <w:sz w:val="44"/>
          <w:szCs w:val="44"/>
        </w:rPr>
      </w:pPr>
    </w:p>
    <w:p w:rsidR="00440ADC" w:rsidRDefault="00440ADC" w:rsidP="00440ADC">
      <w:pPr>
        <w:spacing w:line="520" w:lineRule="exact"/>
        <w:rPr>
          <w:rFonts w:ascii="宋体" w:hAnsi="宋体"/>
          <w:b/>
          <w:sz w:val="44"/>
          <w:szCs w:val="44"/>
        </w:rPr>
      </w:pPr>
    </w:p>
    <w:p w:rsidR="00440ADC" w:rsidRDefault="00440ADC" w:rsidP="00440ADC">
      <w:pPr>
        <w:pStyle w:val="a4"/>
        <w:spacing w:line="520" w:lineRule="exact"/>
        <w:jc w:val="center"/>
        <w:rPr>
          <w:rFonts w:ascii="仿宋_GB2312" w:cs="仿宋_GB2312"/>
        </w:rPr>
      </w:pPr>
    </w:p>
    <w:p w:rsidR="00AF7FFB" w:rsidRDefault="00AF7FFB" w:rsidP="00440ADC">
      <w:pPr>
        <w:pStyle w:val="a4"/>
        <w:spacing w:line="520" w:lineRule="exact"/>
        <w:jc w:val="center"/>
        <w:rPr>
          <w:rFonts w:ascii="仿宋_GB2312" w:cs="仿宋_GB2312"/>
        </w:rPr>
      </w:pPr>
    </w:p>
    <w:p w:rsidR="00AF7FFB" w:rsidRDefault="00AF7FFB" w:rsidP="00440ADC">
      <w:pPr>
        <w:pStyle w:val="a4"/>
        <w:spacing w:line="520" w:lineRule="exact"/>
        <w:jc w:val="center"/>
        <w:rPr>
          <w:rFonts w:ascii="仿宋_GB2312" w:cs="仿宋_GB2312"/>
        </w:rPr>
      </w:pPr>
    </w:p>
    <w:p w:rsidR="00440ADC" w:rsidRPr="00440ADC" w:rsidRDefault="00440ADC" w:rsidP="00440ADC">
      <w:pPr>
        <w:pStyle w:val="a4"/>
        <w:spacing w:line="520" w:lineRule="exact"/>
        <w:jc w:val="center"/>
        <w:rPr>
          <w:rFonts w:ascii="仿宋" w:eastAsia="仿宋" w:hAnsi="仿宋"/>
        </w:rPr>
      </w:pPr>
      <w:r w:rsidRPr="00440ADC">
        <w:rPr>
          <w:rFonts w:ascii="仿宋" w:eastAsia="仿宋" w:hAnsi="仿宋" w:cs="仿宋_GB2312" w:hint="eastAsia"/>
        </w:rPr>
        <w:t>绍学院元培〔2015〕</w:t>
      </w:r>
      <w:r w:rsidR="007022B8">
        <w:rPr>
          <w:rFonts w:ascii="仿宋" w:eastAsia="仿宋" w:hAnsi="仿宋" w:cs="仿宋_GB2312" w:hint="eastAsia"/>
        </w:rPr>
        <w:t>180</w:t>
      </w:r>
      <w:r w:rsidRPr="00440ADC">
        <w:rPr>
          <w:rFonts w:ascii="仿宋" w:eastAsia="仿宋" w:hAnsi="仿宋" w:cs="仿宋_GB2312" w:hint="eastAsia"/>
        </w:rPr>
        <w:t>号</w:t>
      </w:r>
    </w:p>
    <w:p w:rsidR="00440ADC" w:rsidRDefault="00440ADC" w:rsidP="00440ADC">
      <w:pPr>
        <w:spacing w:line="520" w:lineRule="exact"/>
        <w:rPr>
          <w:rFonts w:ascii="宋体" w:hAnsi="宋体"/>
          <w:b/>
          <w:sz w:val="44"/>
          <w:szCs w:val="44"/>
        </w:rPr>
      </w:pPr>
    </w:p>
    <w:p w:rsidR="00440ADC" w:rsidRDefault="00440ADC" w:rsidP="00440ADC">
      <w:pPr>
        <w:spacing w:line="52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cs="宋体" w:hint="eastAsia"/>
          <w:b/>
          <w:kern w:val="0"/>
          <w:sz w:val="44"/>
          <w:szCs w:val="44"/>
        </w:rPr>
        <w:t>绍兴文理学院元培学院关于印发《</w:t>
      </w:r>
      <w:r w:rsidRPr="00440ADC">
        <w:rPr>
          <w:rFonts w:ascii="宋体" w:hAnsi="宋体" w:cs="宋体" w:hint="eastAsia"/>
          <w:b/>
          <w:bCs/>
          <w:kern w:val="0"/>
          <w:sz w:val="44"/>
          <w:szCs w:val="44"/>
        </w:rPr>
        <w:t>绍兴文理学院元培学院学生评价教师课程教学质量工作管理办法</w:t>
      </w:r>
      <w:r>
        <w:rPr>
          <w:rFonts w:ascii="宋体" w:hAnsi="宋体" w:cs="宋体" w:hint="eastAsia"/>
          <w:b/>
          <w:kern w:val="0"/>
          <w:sz w:val="44"/>
          <w:szCs w:val="44"/>
        </w:rPr>
        <w:t>》的通知</w:t>
      </w:r>
    </w:p>
    <w:p w:rsidR="00440ADC" w:rsidRDefault="00440ADC" w:rsidP="00440ADC">
      <w:pPr>
        <w:spacing w:line="520" w:lineRule="exact"/>
        <w:rPr>
          <w:rFonts w:eastAsia="仿宋_GB2312"/>
          <w:color w:val="000000"/>
          <w:spacing w:val="-2"/>
          <w:sz w:val="28"/>
          <w:szCs w:val="28"/>
        </w:rPr>
      </w:pPr>
    </w:p>
    <w:p w:rsidR="00440ADC" w:rsidRDefault="00440ADC" w:rsidP="00440ADC">
      <w:pPr>
        <w:spacing w:line="520" w:lineRule="exact"/>
        <w:rPr>
          <w:rFonts w:ascii="仿宋" w:eastAsia="仿宋" w:hAnsi="仿宋" w:cs="宋体"/>
          <w:kern w:val="0"/>
          <w:sz w:val="32"/>
          <w:szCs w:val="32"/>
        </w:rPr>
      </w:pPr>
      <w:r w:rsidRPr="00440ADC">
        <w:rPr>
          <w:rFonts w:ascii="仿宋" w:eastAsia="仿宋" w:hAnsi="仿宋" w:cs="宋体" w:hint="eastAsia"/>
          <w:kern w:val="0"/>
          <w:sz w:val="32"/>
          <w:szCs w:val="32"/>
        </w:rPr>
        <w:t>各系、部门：</w:t>
      </w:r>
    </w:p>
    <w:p w:rsidR="00440ADC" w:rsidRPr="00440ADC" w:rsidRDefault="00440ADC" w:rsidP="00440ADC">
      <w:pPr>
        <w:spacing w:line="520" w:lineRule="exac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为提高教师的教学质量，客观真实的反映教师教学情况，结合我院教学工作实际，制</w:t>
      </w:r>
      <w:r w:rsidRPr="00440ADC">
        <w:rPr>
          <w:rFonts w:ascii="仿宋" w:eastAsia="仿宋" w:hAnsi="仿宋" w:cs="宋体" w:hint="eastAsia"/>
          <w:kern w:val="0"/>
          <w:sz w:val="32"/>
          <w:szCs w:val="32"/>
        </w:rPr>
        <w:t>定了《</w:t>
      </w:r>
      <w:r w:rsidRPr="00440ADC">
        <w:rPr>
          <w:rFonts w:ascii="仿宋" w:eastAsia="仿宋" w:hAnsi="仿宋" w:cs="宋体" w:hint="eastAsia"/>
          <w:bCs/>
          <w:kern w:val="0"/>
          <w:sz w:val="32"/>
          <w:szCs w:val="32"/>
        </w:rPr>
        <w:t>绍兴文理学院元培学院学生评价教师课程教学质量工作管理办法</w:t>
      </w:r>
      <w:r w:rsidRPr="00440ADC">
        <w:rPr>
          <w:rFonts w:ascii="仿宋" w:eastAsia="仿宋" w:hAnsi="仿宋" w:cs="宋体" w:hint="eastAsia"/>
          <w:kern w:val="0"/>
          <w:sz w:val="32"/>
          <w:szCs w:val="32"/>
        </w:rPr>
        <w:t>》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E74259">
        <w:rPr>
          <w:rFonts w:ascii="仿宋" w:eastAsia="仿宋" w:hAnsi="仿宋" w:cs="宋体" w:hint="eastAsia"/>
          <w:kern w:val="0"/>
          <w:sz w:val="32"/>
          <w:szCs w:val="32"/>
        </w:rPr>
        <w:t>现</w:t>
      </w:r>
      <w:r w:rsidRPr="007C2825">
        <w:rPr>
          <w:rFonts w:ascii="仿宋" w:eastAsia="仿宋" w:hAnsi="仿宋" w:cs="宋体" w:hint="eastAsia"/>
          <w:kern w:val="0"/>
          <w:sz w:val="32"/>
          <w:szCs w:val="32"/>
        </w:rPr>
        <w:t>发文实施，请遵照执行。</w:t>
      </w:r>
    </w:p>
    <w:p w:rsidR="00440ADC" w:rsidRPr="007C2825" w:rsidRDefault="00440ADC" w:rsidP="00440ADC">
      <w:pPr>
        <w:widowControl/>
        <w:spacing w:line="560" w:lineRule="exact"/>
        <w:ind w:firstLineChars="200" w:firstLine="624"/>
        <w:jc w:val="left"/>
        <w:rPr>
          <w:rFonts w:ascii="仿宋" w:eastAsia="仿宋" w:hAnsi="仿宋" w:cs="宋体"/>
          <w:spacing w:val="-4"/>
          <w:kern w:val="0"/>
          <w:sz w:val="32"/>
          <w:szCs w:val="32"/>
        </w:rPr>
      </w:pPr>
      <w:r w:rsidRPr="007C2825">
        <w:rPr>
          <w:rFonts w:ascii="仿宋" w:eastAsia="仿宋" w:hAnsi="仿宋" w:cs="宋体" w:hint="eastAsia"/>
          <w:spacing w:val="-4"/>
          <w:kern w:val="0"/>
          <w:sz w:val="32"/>
          <w:szCs w:val="32"/>
        </w:rPr>
        <w:t>附件：</w:t>
      </w:r>
      <w:r w:rsidRPr="00440ADC">
        <w:rPr>
          <w:rFonts w:ascii="仿宋" w:eastAsia="仿宋" w:hAnsi="仿宋" w:cs="宋体" w:hint="eastAsia"/>
          <w:bCs/>
          <w:kern w:val="0"/>
          <w:sz w:val="32"/>
          <w:szCs w:val="32"/>
        </w:rPr>
        <w:t>绍兴文理学院元培学院学生评价教师课程教学质量工作管理办法</w:t>
      </w:r>
    </w:p>
    <w:p w:rsidR="00440ADC" w:rsidRPr="00440ADC" w:rsidRDefault="00440ADC" w:rsidP="00440ADC">
      <w:pPr>
        <w:spacing w:line="520" w:lineRule="exact"/>
        <w:ind w:right="632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440ADC">
        <w:rPr>
          <w:rFonts w:ascii="仿宋" w:eastAsia="仿宋" w:hAnsi="仿宋" w:cs="宋体" w:hint="eastAsia"/>
          <w:kern w:val="0"/>
          <w:sz w:val="32"/>
          <w:szCs w:val="32"/>
        </w:rPr>
        <w:t xml:space="preserve">绍兴文理学院元培学院 </w:t>
      </w:r>
    </w:p>
    <w:tbl>
      <w:tblPr>
        <w:tblpPr w:leftFromText="180" w:rightFromText="180" w:vertAnchor="text" w:horzAnchor="margin" w:tblpXSpec="center" w:tblpY="782"/>
        <w:tblW w:w="10008" w:type="dxa"/>
        <w:tblBorders>
          <w:top w:val="single" w:sz="8" w:space="0" w:color="auto"/>
          <w:bottom w:val="single" w:sz="8" w:space="0" w:color="auto"/>
          <w:insideH w:val="single" w:sz="6" w:space="0" w:color="auto"/>
        </w:tblBorders>
        <w:tblLayout w:type="fixed"/>
        <w:tblLook w:val="0000"/>
      </w:tblPr>
      <w:tblGrid>
        <w:gridCol w:w="10008"/>
      </w:tblGrid>
      <w:tr w:rsidR="00440ADC" w:rsidRPr="00440ADC" w:rsidTr="00440ADC">
        <w:trPr>
          <w:trHeight w:val="466"/>
        </w:trPr>
        <w:tc>
          <w:tcPr>
            <w:tcW w:w="10008" w:type="dxa"/>
            <w:vAlign w:val="center"/>
          </w:tcPr>
          <w:p w:rsidR="00440ADC" w:rsidRPr="00440ADC" w:rsidRDefault="00440ADC" w:rsidP="00440ADC">
            <w:pPr>
              <w:spacing w:line="540" w:lineRule="exact"/>
              <w:ind w:leftChars="87" w:left="1023" w:hangingChars="300" w:hanging="84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440ADC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抄送：董事会。</w:t>
            </w:r>
          </w:p>
        </w:tc>
      </w:tr>
      <w:tr w:rsidR="00440ADC" w:rsidRPr="00440ADC" w:rsidTr="00440ADC">
        <w:trPr>
          <w:trHeight w:val="466"/>
        </w:trPr>
        <w:tc>
          <w:tcPr>
            <w:tcW w:w="10008" w:type="dxa"/>
            <w:vAlign w:val="center"/>
          </w:tcPr>
          <w:p w:rsidR="00440ADC" w:rsidRPr="00440ADC" w:rsidRDefault="00440ADC" w:rsidP="00281F4A">
            <w:pPr>
              <w:spacing w:line="540" w:lineRule="exact"/>
              <w:ind w:leftChars="100" w:left="210" w:rightChars="100" w:right="21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440ADC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绍兴文理学院元培学院院长办公室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      </w:t>
            </w:r>
            <w:r w:rsidRPr="00440ADC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 2015年</w:t>
            </w:r>
            <w:r w:rsidR="00BB0FEA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11</w:t>
            </w:r>
            <w:r w:rsidRPr="00440ADC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月</w:t>
            </w:r>
            <w:r w:rsidR="00BB0FEA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24</w:t>
            </w:r>
            <w:r w:rsidRPr="00440ADC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日印发</w:t>
            </w:r>
          </w:p>
        </w:tc>
      </w:tr>
    </w:tbl>
    <w:p w:rsidR="00440ADC" w:rsidRPr="00440ADC" w:rsidRDefault="00440ADC" w:rsidP="00440ADC">
      <w:pPr>
        <w:spacing w:line="520" w:lineRule="exact"/>
        <w:ind w:right="600"/>
        <w:jc w:val="center"/>
        <w:rPr>
          <w:rFonts w:ascii="仿宋" w:eastAsia="仿宋" w:hAnsi="仿宋" w:cs="宋体"/>
          <w:kern w:val="0"/>
          <w:sz w:val="32"/>
          <w:szCs w:val="32"/>
        </w:rPr>
      </w:pPr>
      <w:r w:rsidRPr="00440ADC">
        <w:rPr>
          <w:rFonts w:ascii="仿宋" w:eastAsia="仿宋" w:hAnsi="仿宋" w:cs="宋体" w:hint="eastAsia"/>
          <w:kern w:val="0"/>
          <w:sz w:val="32"/>
          <w:szCs w:val="32"/>
        </w:rPr>
        <w:t xml:space="preserve">                       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440ADC">
        <w:rPr>
          <w:rFonts w:ascii="仿宋" w:eastAsia="仿宋" w:hAnsi="仿宋" w:cs="宋体" w:hint="eastAsia"/>
          <w:kern w:val="0"/>
          <w:sz w:val="32"/>
          <w:szCs w:val="32"/>
        </w:rPr>
        <w:t>2015年</w:t>
      </w:r>
      <w:r>
        <w:rPr>
          <w:rFonts w:ascii="仿宋" w:eastAsia="仿宋" w:hAnsi="仿宋" w:cs="宋体" w:hint="eastAsia"/>
          <w:kern w:val="0"/>
          <w:sz w:val="32"/>
          <w:szCs w:val="32"/>
        </w:rPr>
        <w:t>11</w:t>
      </w:r>
      <w:r w:rsidRPr="00440ADC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kern w:val="0"/>
          <w:sz w:val="32"/>
          <w:szCs w:val="32"/>
        </w:rPr>
        <w:t>24</w:t>
      </w:r>
      <w:r w:rsidRPr="00440ADC"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p w:rsidR="00440ADC" w:rsidRDefault="00AF7FFB" w:rsidP="00AF7FFB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  <w:r w:rsidR="00440ADC" w:rsidRPr="00440ADC">
        <w:rPr>
          <w:rFonts w:ascii="黑体" w:eastAsia="黑体" w:hAnsi="黑体" w:hint="eastAsia"/>
          <w:sz w:val="32"/>
          <w:szCs w:val="32"/>
        </w:rPr>
        <w:lastRenderedPageBreak/>
        <w:t>附件：</w:t>
      </w:r>
    </w:p>
    <w:p w:rsidR="00440ADC" w:rsidRPr="00440ADC" w:rsidRDefault="00440ADC">
      <w:pPr>
        <w:rPr>
          <w:rFonts w:ascii="黑体" w:eastAsia="黑体" w:hAnsi="黑体"/>
          <w:sz w:val="32"/>
          <w:szCs w:val="32"/>
        </w:rPr>
      </w:pPr>
    </w:p>
    <w:p w:rsidR="00440ADC" w:rsidRPr="00440ADC" w:rsidRDefault="00440ADC" w:rsidP="00440ADC">
      <w:pPr>
        <w:spacing w:line="360" w:lineRule="auto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 w:rsidRPr="00440ADC">
        <w:rPr>
          <w:rFonts w:ascii="宋体" w:hAnsi="宋体" w:cs="宋体" w:hint="eastAsia"/>
          <w:b/>
          <w:bCs/>
          <w:kern w:val="0"/>
          <w:sz w:val="28"/>
          <w:szCs w:val="28"/>
        </w:rPr>
        <w:t>绍兴文理学院元培学院学生评价教师课程教学质量工作管理办法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学生评价教师课程教学质量（简称“学评教”）是教学质量监控的重要环节，教学效果的评价和教学信息的反馈有利于促进教学质量的提高。为加强管理，完善“学评教”工作，特制订本管理办法。</w:t>
      </w:r>
    </w:p>
    <w:p w:rsidR="00440ADC" w:rsidRPr="00440ADC" w:rsidRDefault="00440ADC" w:rsidP="00440ADC">
      <w:pPr>
        <w:spacing w:line="440" w:lineRule="exact"/>
        <w:ind w:firstLineChars="200" w:firstLine="562"/>
        <w:rPr>
          <w:rFonts w:ascii="宋体" w:hAnsi="宋体"/>
          <w:b/>
          <w:kern w:val="0"/>
          <w:sz w:val="28"/>
          <w:szCs w:val="28"/>
        </w:rPr>
      </w:pPr>
      <w:r w:rsidRPr="00440ADC">
        <w:rPr>
          <w:rFonts w:ascii="宋体" w:hAnsi="宋体" w:hint="eastAsia"/>
          <w:b/>
          <w:kern w:val="0"/>
          <w:sz w:val="28"/>
          <w:szCs w:val="28"/>
        </w:rPr>
        <w:t>一、评价对象和参评对象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（一）评价对象。担任人才培养方案中规定课程的任课教师。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（二）参评对象。修读人才培养方案中规定课程的学生</w:t>
      </w:r>
      <w:r w:rsidRPr="00440ADC">
        <w:rPr>
          <w:rFonts w:ascii="宋体" w:hAnsi="宋体" w:hint="eastAsia"/>
          <w:sz w:val="28"/>
          <w:szCs w:val="28"/>
        </w:rPr>
        <w:t>。未听课或缺课三分之一及以上的学生不参加评价。</w:t>
      </w:r>
    </w:p>
    <w:p w:rsidR="00440ADC" w:rsidRPr="00440ADC" w:rsidRDefault="00440ADC" w:rsidP="00440ADC">
      <w:pPr>
        <w:spacing w:line="440" w:lineRule="exact"/>
        <w:ind w:firstLineChars="200" w:firstLine="562"/>
        <w:rPr>
          <w:rFonts w:ascii="宋体" w:hAnsi="宋体"/>
          <w:b/>
          <w:kern w:val="0"/>
          <w:sz w:val="28"/>
          <w:szCs w:val="28"/>
        </w:rPr>
      </w:pPr>
      <w:r w:rsidRPr="00440ADC">
        <w:rPr>
          <w:rFonts w:ascii="宋体" w:hAnsi="宋体" w:hint="eastAsia"/>
          <w:b/>
          <w:kern w:val="0"/>
          <w:sz w:val="28"/>
          <w:szCs w:val="28"/>
        </w:rPr>
        <w:t>二、评价内容和标准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以教学目标、教学内容、教学方法、教学评价等四方面作为主要评价内容，其基本标准与要求如下：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（一）在教学目标上，紧密结合专业人才培养目标定位，正确处理传授知识与培养能力的关系，始终把培养与发展学生的应用能力放在首位，克服重知识传授、轻能力培养、以知识传授代替能力培养的做法。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（二）在教学内容上，从学生将来从事的专业领域的实际需要出发，以解决专业实际问题为导向设计教学内容。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（三）在教学方法上，以培养学生学习能力、实践能力和创新能力为重点，科学选择适宜教学要求与学生实际的教学方法，组织开展团队学习、小组学习、合作学习等多种学习方式，促进教与学互动，使学生学会学习。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（四）在教学评价上，始终把知识掌握与能力发展作为评价学生学习情况的两个基本要素，开展既有过程性检查又有结果性诊断的多种多样的考试评价方式。</w:t>
      </w:r>
    </w:p>
    <w:p w:rsidR="00440ADC" w:rsidRPr="00440ADC" w:rsidRDefault="00440ADC" w:rsidP="00440ADC">
      <w:pPr>
        <w:spacing w:line="440" w:lineRule="exact"/>
        <w:ind w:firstLineChars="200" w:firstLine="562"/>
        <w:rPr>
          <w:rFonts w:ascii="宋体" w:hAnsi="宋体"/>
          <w:b/>
          <w:kern w:val="0"/>
          <w:sz w:val="28"/>
          <w:szCs w:val="28"/>
        </w:rPr>
      </w:pPr>
      <w:r w:rsidRPr="00440ADC">
        <w:rPr>
          <w:rFonts w:ascii="宋体" w:hAnsi="宋体" w:hint="eastAsia"/>
          <w:b/>
          <w:kern w:val="0"/>
          <w:sz w:val="28"/>
          <w:szCs w:val="28"/>
        </w:rPr>
        <w:t>三、评价等级与比例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color w:val="FF0000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评价等级为优秀、良好、中等、合格与不合格。良好及以上比例不超过评价对象总数的80%，其中“优秀”比例不超过30%；其余等级不设比例。</w:t>
      </w:r>
    </w:p>
    <w:p w:rsidR="00440ADC" w:rsidRPr="00440ADC" w:rsidRDefault="00440ADC" w:rsidP="00440ADC">
      <w:pPr>
        <w:spacing w:line="440" w:lineRule="exact"/>
        <w:ind w:firstLineChars="200" w:firstLine="562"/>
        <w:rPr>
          <w:rFonts w:ascii="宋体" w:hAnsi="宋体"/>
          <w:b/>
          <w:kern w:val="0"/>
          <w:sz w:val="28"/>
          <w:szCs w:val="28"/>
        </w:rPr>
      </w:pPr>
      <w:r w:rsidRPr="00440ADC">
        <w:rPr>
          <w:rFonts w:ascii="宋体" w:hAnsi="宋体" w:hint="eastAsia"/>
          <w:b/>
          <w:kern w:val="0"/>
          <w:sz w:val="28"/>
          <w:szCs w:val="28"/>
        </w:rPr>
        <w:lastRenderedPageBreak/>
        <w:t>四、时间与组织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dstrike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评价工作每学期一次，一般在第14教学周进行。评价工作由教务处统一组织，各系(部)具体落实。教务处负责教务管理系统维护，保证系统正常运行；各系(部)负责做好评价的组织、管理等工作。</w:t>
      </w:r>
    </w:p>
    <w:p w:rsidR="00440ADC" w:rsidRPr="00440ADC" w:rsidRDefault="00440ADC" w:rsidP="00440ADC">
      <w:pPr>
        <w:spacing w:line="440" w:lineRule="exact"/>
        <w:ind w:firstLineChars="200" w:firstLine="562"/>
        <w:rPr>
          <w:rFonts w:ascii="宋体" w:hAnsi="宋体"/>
          <w:b/>
          <w:kern w:val="0"/>
          <w:sz w:val="28"/>
          <w:szCs w:val="28"/>
        </w:rPr>
      </w:pPr>
      <w:r w:rsidRPr="00440ADC">
        <w:rPr>
          <w:rFonts w:ascii="宋体" w:hAnsi="宋体" w:hint="eastAsia"/>
          <w:b/>
          <w:kern w:val="0"/>
          <w:sz w:val="28"/>
          <w:szCs w:val="28"/>
        </w:rPr>
        <w:t>五、评价结果的统计与反馈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评价结果</w:t>
      </w:r>
      <w:r w:rsidRPr="00440ADC">
        <w:rPr>
          <w:rFonts w:ascii="宋体" w:hAnsi="宋体" w:cs="宋体" w:hint="eastAsia"/>
          <w:kern w:val="0"/>
          <w:sz w:val="28"/>
          <w:szCs w:val="28"/>
          <w:lang w:val="zh-CN"/>
        </w:rPr>
        <w:t>按照百分制进行统计。</w:t>
      </w:r>
      <w:r w:rsidRPr="00440ADC">
        <w:rPr>
          <w:rFonts w:ascii="宋体" w:hAnsi="宋体" w:hint="eastAsia"/>
          <w:kern w:val="0"/>
          <w:sz w:val="28"/>
          <w:szCs w:val="28"/>
        </w:rPr>
        <w:t>优秀、良好、中等、合格、不合格的对应分值为95分、85分、75分、65分、55分。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lang w:val="zh-CN"/>
        </w:rPr>
      </w:pPr>
      <w:r w:rsidRPr="00440ADC">
        <w:rPr>
          <w:rFonts w:ascii="宋体" w:hAnsi="宋体" w:cs="宋体" w:hint="eastAsia"/>
          <w:kern w:val="0"/>
          <w:sz w:val="28"/>
          <w:szCs w:val="28"/>
          <w:lang w:val="zh-CN"/>
        </w:rPr>
        <w:t>（一）每教师每课程“学评教”结果的统计方法是，所有学生评价分值中去掉</w:t>
      </w:r>
      <w:r w:rsidRPr="00440ADC">
        <w:rPr>
          <w:rFonts w:ascii="宋体" w:hAnsi="宋体" w:hint="eastAsia"/>
          <w:kern w:val="0"/>
          <w:sz w:val="28"/>
          <w:szCs w:val="28"/>
          <w:lang w:val="zh-CN"/>
        </w:rPr>
        <w:t>10%</w:t>
      </w:r>
      <w:r w:rsidRPr="00440ADC">
        <w:rPr>
          <w:rFonts w:ascii="宋体" w:hAnsi="宋体" w:cs="宋体" w:hint="eastAsia"/>
          <w:kern w:val="0"/>
          <w:sz w:val="28"/>
          <w:szCs w:val="28"/>
          <w:lang w:val="zh-CN"/>
        </w:rPr>
        <w:t>最高分值和10%最低分值后得出的平均分。统计公式：∑（学生评价分值）÷（评价学生数），其中学生评价分值为去掉</w:t>
      </w:r>
      <w:r w:rsidRPr="00440ADC">
        <w:rPr>
          <w:rFonts w:ascii="宋体" w:hAnsi="宋体" w:hint="eastAsia"/>
          <w:kern w:val="0"/>
          <w:sz w:val="28"/>
          <w:szCs w:val="28"/>
          <w:lang w:val="zh-CN"/>
        </w:rPr>
        <w:t>10%</w:t>
      </w:r>
      <w:r w:rsidRPr="00440ADC">
        <w:rPr>
          <w:rFonts w:ascii="宋体" w:hAnsi="宋体" w:cs="宋体" w:hint="eastAsia"/>
          <w:kern w:val="0"/>
          <w:sz w:val="28"/>
          <w:szCs w:val="28"/>
          <w:lang w:val="zh-CN"/>
        </w:rPr>
        <w:t>最高分值和10%最低分值的分值，评价学生数为评价学生总数的80%。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lang w:val="zh-CN"/>
        </w:rPr>
      </w:pPr>
      <w:r w:rsidRPr="00440ADC">
        <w:rPr>
          <w:rFonts w:ascii="宋体" w:hAnsi="宋体" w:cs="宋体" w:hint="eastAsia"/>
          <w:kern w:val="0"/>
          <w:sz w:val="28"/>
          <w:szCs w:val="28"/>
          <w:lang w:val="zh-CN"/>
        </w:rPr>
        <w:t>（二）每位教师“学评教”结果的统计公式：∑（每教师每课程分值×每课程评价学生数）÷∑（每课程评价学生数）。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cs="宋体" w:hint="eastAsia"/>
          <w:kern w:val="0"/>
          <w:sz w:val="28"/>
          <w:szCs w:val="28"/>
          <w:lang w:val="zh-CN"/>
        </w:rPr>
        <w:t>（三）统计各</w:t>
      </w:r>
      <w:r w:rsidRPr="00440ADC">
        <w:rPr>
          <w:rFonts w:ascii="宋体" w:hAnsi="宋体" w:hint="eastAsia"/>
          <w:kern w:val="0"/>
          <w:sz w:val="28"/>
          <w:szCs w:val="28"/>
        </w:rPr>
        <w:t>系(部)</w:t>
      </w:r>
      <w:r w:rsidRPr="00440ADC">
        <w:rPr>
          <w:rFonts w:ascii="宋体" w:hAnsi="宋体" w:cs="宋体" w:hint="eastAsia"/>
          <w:kern w:val="0"/>
          <w:sz w:val="28"/>
          <w:szCs w:val="28"/>
          <w:lang w:val="zh-CN"/>
        </w:rPr>
        <w:t>教师“学评教”结果的平均得分和全院教师“学评教”结果的平均得分。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评价结果反馈工作由教务处负责。教务处将每教师每课程“学评教”结</w:t>
      </w:r>
      <w:r w:rsidRPr="00440ADC">
        <w:rPr>
          <w:rFonts w:ascii="宋体" w:hAnsi="宋体" w:cs="宋体" w:hint="eastAsia"/>
          <w:kern w:val="0"/>
          <w:sz w:val="28"/>
          <w:szCs w:val="28"/>
          <w:lang w:val="zh-CN"/>
        </w:rPr>
        <w:t>果、每教师“学评教”结果和</w:t>
      </w:r>
      <w:r w:rsidRPr="00440ADC">
        <w:rPr>
          <w:rFonts w:ascii="宋体" w:hAnsi="宋体" w:hint="eastAsia"/>
          <w:kern w:val="0"/>
          <w:sz w:val="28"/>
          <w:szCs w:val="28"/>
        </w:rPr>
        <w:t>各系(部)</w:t>
      </w:r>
      <w:r w:rsidRPr="00440ADC">
        <w:rPr>
          <w:rFonts w:ascii="宋体" w:hAnsi="宋体" w:cs="宋体" w:hint="eastAsia"/>
          <w:kern w:val="0"/>
          <w:sz w:val="28"/>
          <w:szCs w:val="28"/>
          <w:lang w:val="zh-CN"/>
        </w:rPr>
        <w:t>教师“学评教”结果的平均得分、全院教师“学评教”结果的平均得分等</w:t>
      </w:r>
      <w:r w:rsidRPr="00440ADC">
        <w:rPr>
          <w:rFonts w:ascii="宋体" w:hAnsi="宋体" w:hint="eastAsia"/>
          <w:kern w:val="0"/>
          <w:sz w:val="28"/>
          <w:szCs w:val="28"/>
        </w:rPr>
        <w:t>反馈给各系(部)，同时，通过教务管理系统将相关信息反馈给教师个人。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六、其他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评价工作应做到基础数据准确无误，评价公正客观，工作规范有序。任何部门或个人</w:t>
      </w:r>
      <w:r w:rsidRPr="00440ADC">
        <w:rPr>
          <w:rFonts w:ascii="宋体" w:hAnsi="宋体" w:cs="宋体" w:hint="eastAsia"/>
          <w:kern w:val="0"/>
          <w:sz w:val="28"/>
          <w:szCs w:val="28"/>
          <w:lang w:val="zh-CN"/>
        </w:rPr>
        <w:t>以任何方式影响“学评教”工作正常开展、造成不良后果的，视其情节轻重，</w:t>
      </w:r>
      <w:r w:rsidRPr="00440ADC">
        <w:rPr>
          <w:rFonts w:ascii="宋体" w:hAnsi="宋体" w:hint="eastAsia"/>
          <w:kern w:val="0"/>
          <w:sz w:val="28"/>
          <w:szCs w:val="28"/>
        </w:rPr>
        <w:t>追究其责任。</w:t>
      </w:r>
    </w:p>
    <w:p w:rsidR="00440ADC" w:rsidRPr="00440ADC" w:rsidRDefault="00440ADC" w:rsidP="00440ADC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440ADC">
        <w:rPr>
          <w:rFonts w:ascii="宋体" w:hAnsi="宋体" w:hint="eastAsia"/>
          <w:kern w:val="0"/>
          <w:sz w:val="28"/>
          <w:szCs w:val="28"/>
        </w:rPr>
        <w:t>本办法自发文之日起执行，由教务处负责解释。</w:t>
      </w:r>
    </w:p>
    <w:p w:rsidR="00440ADC" w:rsidRDefault="00440ADC" w:rsidP="00440ADC">
      <w:pPr>
        <w:spacing w:line="440" w:lineRule="exact"/>
        <w:rPr>
          <w:rFonts w:ascii="宋体" w:hAnsi="宋体"/>
          <w:kern w:val="0"/>
          <w:sz w:val="24"/>
          <w:szCs w:val="32"/>
        </w:rPr>
      </w:pPr>
    </w:p>
    <w:p w:rsidR="00440ADC" w:rsidRDefault="00440ADC" w:rsidP="00440ADC">
      <w:pPr>
        <w:spacing w:line="440" w:lineRule="exact"/>
        <w:ind w:right="480"/>
        <w:rPr>
          <w:rFonts w:ascii="宋体" w:hAnsi="宋体"/>
          <w:kern w:val="0"/>
          <w:sz w:val="24"/>
          <w:szCs w:val="32"/>
        </w:rPr>
      </w:pPr>
    </w:p>
    <w:p w:rsidR="00440ADC" w:rsidRDefault="00440ADC" w:rsidP="00440ADC">
      <w:pPr>
        <w:spacing w:line="440" w:lineRule="exact"/>
        <w:ind w:right="480"/>
        <w:rPr>
          <w:rFonts w:ascii="宋体" w:hAnsi="宋体"/>
          <w:kern w:val="0"/>
          <w:sz w:val="24"/>
          <w:szCs w:val="32"/>
        </w:rPr>
      </w:pPr>
    </w:p>
    <w:p w:rsidR="00440ADC" w:rsidRDefault="00440ADC" w:rsidP="00440ADC">
      <w:pPr>
        <w:spacing w:line="440" w:lineRule="exact"/>
        <w:jc w:val="righ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宋体" w:hAnsi="宋体" w:hint="eastAsia"/>
          <w:kern w:val="0"/>
          <w:sz w:val="24"/>
          <w:szCs w:val="32"/>
        </w:rPr>
        <w:t xml:space="preserve">   </w:t>
      </w:r>
    </w:p>
    <w:p w:rsidR="00440ADC" w:rsidRDefault="00440ADC" w:rsidP="00440ADC">
      <w:pPr>
        <w:spacing w:line="580" w:lineRule="exact"/>
        <w:jc w:val="righ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br w:type="page"/>
      </w:r>
    </w:p>
    <w:p w:rsidR="00440ADC" w:rsidRDefault="00440ADC" w:rsidP="00440ADC">
      <w:pPr>
        <w:spacing w:line="360" w:lineRule="auto"/>
        <w:jc w:val="center"/>
        <w:rPr>
          <w:rFonts w:ascii="宋体" w:hAnsi="宋体" w:cs="宋体"/>
          <w:b/>
          <w:kern w:val="0"/>
          <w:sz w:val="36"/>
          <w:szCs w:val="32"/>
        </w:rPr>
      </w:pPr>
      <w:r>
        <w:rPr>
          <w:rFonts w:ascii="宋体" w:hAnsi="宋体" w:cs="宋体" w:hint="eastAsia"/>
          <w:b/>
          <w:kern w:val="0"/>
          <w:sz w:val="36"/>
          <w:szCs w:val="32"/>
        </w:rPr>
        <w:lastRenderedPageBreak/>
        <w:t>绍兴文理学院元培学院不参加“学评教”信息汇总表</w:t>
      </w:r>
    </w:p>
    <w:p w:rsidR="00440ADC" w:rsidRDefault="00440ADC" w:rsidP="00440ADC">
      <w:pPr>
        <w:jc w:val="center"/>
        <w:rPr>
          <w:rFonts w:ascii="宋体" w:hAnsi="宋体" w:cs="宋体"/>
          <w:kern w:val="0"/>
          <w:sz w:val="24"/>
        </w:rPr>
      </w:pPr>
    </w:p>
    <w:p w:rsidR="00440ADC" w:rsidRDefault="00440ADC" w:rsidP="00440ADC">
      <w:pPr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（ 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</w:t>
      </w:r>
      <w:r>
        <w:rPr>
          <w:rFonts w:ascii="宋体" w:hAnsi="宋体" w:cs="宋体" w:hint="eastAsia"/>
          <w:kern w:val="0"/>
          <w:sz w:val="24"/>
        </w:rPr>
        <w:t>学年第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</w:t>
      </w:r>
      <w:r>
        <w:rPr>
          <w:rFonts w:ascii="宋体" w:hAnsi="宋体" w:cs="宋体" w:hint="eastAsia"/>
          <w:kern w:val="0"/>
          <w:sz w:val="24"/>
        </w:rPr>
        <w:t>学期）</w:t>
      </w:r>
    </w:p>
    <w:p w:rsidR="00440ADC" w:rsidRDefault="00440ADC" w:rsidP="00440ADC">
      <w:pPr>
        <w:ind w:right="140" w:firstLineChars="196" w:firstLine="47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3"/>
        <w:gridCol w:w="1564"/>
        <w:gridCol w:w="1563"/>
        <w:gridCol w:w="1563"/>
        <w:gridCol w:w="3276"/>
      </w:tblGrid>
      <w:tr w:rsidR="00440ADC" w:rsidTr="00A05336">
        <w:trPr>
          <w:trHeight w:val="780"/>
          <w:jc w:val="center"/>
        </w:trPr>
        <w:tc>
          <w:tcPr>
            <w:tcW w:w="1563" w:type="dxa"/>
            <w:tcBorders>
              <w:right w:val="single" w:sz="8" w:space="0" w:color="auto"/>
            </w:tcBorders>
            <w:vAlign w:val="center"/>
          </w:tcPr>
          <w:p w:rsidR="00440ADC" w:rsidRDefault="00440ADC" w:rsidP="00A053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学生班级</w:t>
            </w:r>
          </w:p>
        </w:tc>
        <w:tc>
          <w:tcPr>
            <w:tcW w:w="1564" w:type="dxa"/>
            <w:tcBorders>
              <w:left w:val="single" w:sz="8" w:space="0" w:color="auto"/>
            </w:tcBorders>
            <w:vAlign w:val="center"/>
          </w:tcPr>
          <w:p w:rsidR="00440ADC" w:rsidRDefault="00440ADC" w:rsidP="00A053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1563" w:type="dxa"/>
            <w:vAlign w:val="center"/>
          </w:tcPr>
          <w:p w:rsidR="00440ADC" w:rsidRDefault="00440ADC" w:rsidP="00A05336">
            <w:pPr>
              <w:jc w:val="center"/>
            </w:pPr>
            <w:r>
              <w:rPr>
                <w:rFonts w:hint="eastAsia"/>
                <w:b/>
                <w:sz w:val="24"/>
              </w:rPr>
              <w:t>学生姓名</w:t>
            </w:r>
          </w:p>
        </w:tc>
        <w:tc>
          <w:tcPr>
            <w:tcW w:w="1563" w:type="dxa"/>
            <w:vAlign w:val="center"/>
          </w:tcPr>
          <w:p w:rsidR="00440ADC" w:rsidRDefault="00440ADC" w:rsidP="00A05336">
            <w:pPr>
              <w:jc w:val="center"/>
            </w:pPr>
            <w:r>
              <w:rPr>
                <w:rFonts w:hint="eastAsia"/>
                <w:b/>
                <w:sz w:val="24"/>
              </w:rPr>
              <w:t>学生学号</w:t>
            </w:r>
          </w:p>
        </w:tc>
        <w:tc>
          <w:tcPr>
            <w:tcW w:w="3276" w:type="dxa"/>
            <w:vAlign w:val="center"/>
          </w:tcPr>
          <w:p w:rsidR="00440ADC" w:rsidRDefault="00440ADC" w:rsidP="00A053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不参加“学评教”原因</w:t>
            </w:r>
          </w:p>
        </w:tc>
      </w:tr>
      <w:tr w:rsidR="00440ADC" w:rsidTr="00A05336">
        <w:trPr>
          <w:trHeight w:val="780"/>
          <w:jc w:val="center"/>
        </w:trPr>
        <w:tc>
          <w:tcPr>
            <w:tcW w:w="1563" w:type="dxa"/>
            <w:tcBorders>
              <w:right w:val="single" w:sz="8" w:space="0" w:color="auto"/>
            </w:tcBorders>
            <w:vAlign w:val="center"/>
          </w:tcPr>
          <w:p w:rsidR="00440ADC" w:rsidRDefault="00440ADC" w:rsidP="00A05336">
            <w:pPr>
              <w:rPr>
                <w:sz w:val="24"/>
              </w:rPr>
            </w:pPr>
          </w:p>
        </w:tc>
        <w:tc>
          <w:tcPr>
            <w:tcW w:w="1564" w:type="dxa"/>
            <w:tcBorders>
              <w:left w:val="single" w:sz="8" w:space="0" w:color="auto"/>
            </w:tcBorders>
            <w:vAlign w:val="center"/>
          </w:tcPr>
          <w:p w:rsidR="00440ADC" w:rsidRDefault="00440ADC" w:rsidP="00A05336">
            <w:pPr>
              <w:rPr>
                <w:sz w:val="24"/>
              </w:rPr>
            </w:pPr>
          </w:p>
        </w:tc>
        <w:tc>
          <w:tcPr>
            <w:tcW w:w="1563" w:type="dxa"/>
            <w:vAlign w:val="center"/>
          </w:tcPr>
          <w:p w:rsidR="00440ADC" w:rsidRDefault="00440ADC" w:rsidP="00A05336"/>
        </w:tc>
        <w:tc>
          <w:tcPr>
            <w:tcW w:w="1563" w:type="dxa"/>
            <w:vAlign w:val="center"/>
          </w:tcPr>
          <w:p w:rsidR="00440ADC" w:rsidRDefault="00440ADC" w:rsidP="00A05336"/>
        </w:tc>
        <w:tc>
          <w:tcPr>
            <w:tcW w:w="3276" w:type="dxa"/>
            <w:vAlign w:val="center"/>
          </w:tcPr>
          <w:p w:rsidR="00440ADC" w:rsidRDefault="00440ADC" w:rsidP="00A05336">
            <w:pPr>
              <w:rPr>
                <w:sz w:val="24"/>
              </w:rPr>
            </w:pPr>
          </w:p>
        </w:tc>
      </w:tr>
      <w:tr w:rsidR="00440ADC" w:rsidTr="00A05336">
        <w:trPr>
          <w:trHeight w:val="780"/>
          <w:jc w:val="center"/>
        </w:trPr>
        <w:tc>
          <w:tcPr>
            <w:tcW w:w="1563" w:type="dxa"/>
            <w:tcBorders>
              <w:right w:val="single" w:sz="8" w:space="0" w:color="auto"/>
            </w:tcBorders>
            <w:vAlign w:val="center"/>
          </w:tcPr>
          <w:p w:rsidR="00440ADC" w:rsidRDefault="00440ADC" w:rsidP="00A05336">
            <w:pPr>
              <w:rPr>
                <w:sz w:val="24"/>
              </w:rPr>
            </w:pPr>
          </w:p>
        </w:tc>
        <w:tc>
          <w:tcPr>
            <w:tcW w:w="1564" w:type="dxa"/>
            <w:tcBorders>
              <w:left w:val="single" w:sz="8" w:space="0" w:color="auto"/>
            </w:tcBorders>
            <w:vAlign w:val="center"/>
          </w:tcPr>
          <w:p w:rsidR="00440ADC" w:rsidRDefault="00440ADC" w:rsidP="00A05336">
            <w:pPr>
              <w:rPr>
                <w:sz w:val="24"/>
              </w:rPr>
            </w:pPr>
          </w:p>
        </w:tc>
        <w:tc>
          <w:tcPr>
            <w:tcW w:w="1563" w:type="dxa"/>
            <w:vAlign w:val="center"/>
          </w:tcPr>
          <w:p w:rsidR="00440ADC" w:rsidRDefault="00440ADC" w:rsidP="00A05336"/>
        </w:tc>
        <w:tc>
          <w:tcPr>
            <w:tcW w:w="1563" w:type="dxa"/>
            <w:vAlign w:val="center"/>
          </w:tcPr>
          <w:p w:rsidR="00440ADC" w:rsidRDefault="00440ADC" w:rsidP="00A05336"/>
        </w:tc>
        <w:tc>
          <w:tcPr>
            <w:tcW w:w="3276" w:type="dxa"/>
            <w:vAlign w:val="center"/>
          </w:tcPr>
          <w:p w:rsidR="00440ADC" w:rsidRDefault="00440ADC" w:rsidP="00A05336">
            <w:pPr>
              <w:rPr>
                <w:sz w:val="24"/>
              </w:rPr>
            </w:pPr>
          </w:p>
        </w:tc>
      </w:tr>
      <w:tr w:rsidR="00440ADC" w:rsidTr="00A05336">
        <w:trPr>
          <w:trHeight w:val="780"/>
          <w:jc w:val="center"/>
        </w:trPr>
        <w:tc>
          <w:tcPr>
            <w:tcW w:w="1563" w:type="dxa"/>
            <w:tcBorders>
              <w:right w:val="single" w:sz="8" w:space="0" w:color="auto"/>
            </w:tcBorders>
            <w:vAlign w:val="center"/>
          </w:tcPr>
          <w:p w:rsidR="00440ADC" w:rsidRDefault="00440ADC" w:rsidP="00A05336">
            <w:pPr>
              <w:rPr>
                <w:sz w:val="24"/>
              </w:rPr>
            </w:pPr>
          </w:p>
        </w:tc>
        <w:tc>
          <w:tcPr>
            <w:tcW w:w="1564" w:type="dxa"/>
            <w:tcBorders>
              <w:left w:val="single" w:sz="8" w:space="0" w:color="auto"/>
            </w:tcBorders>
            <w:vAlign w:val="center"/>
          </w:tcPr>
          <w:p w:rsidR="00440ADC" w:rsidRDefault="00440ADC" w:rsidP="00A05336">
            <w:pPr>
              <w:rPr>
                <w:sz w:val="24"/>
              </w:rPr>
            </w:pPr>
          </w:p>
        </w:tc>
        <w:tc>
          <w:tcPr>
            <w:tcW w:w="1563" w:type="dxa"/>
            <w:vAlign w:val="center"/>
          </w:tcPr>
          <w:p w:rsidR="00440ADC" w:rsidRDefault="00440ADC" w:rsidP="00A05336"/>
        </w:tc>
        <w:tc>
          <w:tcPr>
            <w:tcW w:w="1563" w:type="dxa"/>
            <w:vAlign w:val="center"/>
          </w:tcPr>
          <w:p w:rsidR="00440ADC" w:rsidRDefault="00440ADC" w:rsidP="00A05336"/>
        </w:tc>
        <w:tc>
          <w:tcPr>
            <w:tcW w:w="3276" w:type="dxa"/>
            <w:vAlign w:val="center"/>
          </w:tcPr>
          <w:p w:rsidR="00440ADC" w:rsidRDefault="00440ADC" w:rsidP="00A05336">
            <w:pPr>
              <w:rPr>
                <w:sz w:val="24"/>
              </w:rPr>
            </w:pPr>
          </w:p>
        </w:tc>
      </w:tr>
    </w:tbl>
    <w:p w:rsidR="00440ADC" w:rsidRDefault="00440ADC" w:rsidP="00440ADC">
      <w:pPr>
        <w:rPr>
          <w:sz w:val="24"/>
        </w:rPr>
      </w:pPr>
    </w:p>
    <w:p w:rsidR="00440ADC" w:rsidRDefault="00440ADC" w:rsidP="00440ADC">
      <w:pPr>
        <w:rPr>
          <w:sz w:val="24"/>
        </w:rPr>
      </w:pPr>
    </w:p>
    <w:p w:rsidR="00440ADC" w:rsidRDefault="00440ADC" w:rsidP="00440ADC">
      <w:r>
        <w:rPr>
          <w:rFonts w:hint="eastAsia"/>
          <w:sz w:val="24"/>
        </w:rPr>
        <w:t>系主任（签字）：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（盖章）</w:t>
      </w:r>
      <w:r>
        <w:rPr>
          <w:rFonts w:ascii="宋体" w:hAnsi="宋体" w:cs="宋体" w:hint="eastAsia"/>
          <w:kern w:val="0"/>
          <w:sz w:val="24"/>
        </w:rPr>
        <w:t>：</w:t>
      </w:r>
      <w:r>
        <w:rPr>
          <w:rFonts w:hint="eastAsia"/>
          <w:sz w:val="24"/>
          <w:u w:val="single"/>
        </w:rPr>
        <w:t xml:space="preserve">       </w:t>
      </w:r>
    </w:p>
    <w:p w:rsidR="00440ADC" w:rsidRPr="00440ADC" w:rsidRDefault="00440ADC"/>
    <w:sectPr w:rsidR="00440ADC" w:rsidRPr="00440ADC" w:rsidSect="00AF7FFB">
      <w:footerReference w:type="default" r:id="rId7"/>
      <w:pgSz w:w="11906" w:h="16838"/>
      <w:pgMar w:top="1440" w:right="1800" w:bottom="1440" w:left="1800" w:header="851" w:footer="850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22B" w:rsidRDefault="007C222B" w:rsidP="00202B10">
      <w:r>
        <w:separator/>
      </w:r>
    </w:p>
  </w:endnote>
  <w:endnote w:type="continuationSeparator" w:id="1">
    <w:p w:rsidR="007C222B" w:rsidRDefault="007C222B" w:rsidP="00202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73966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AF7FFB" w:rsidRDefault="00725448">
        <w:pPr>
          <w:pStyle w:val="a9"/>
          <w:jc w:val="right"/>
        </w:pPr>
        <w:r w:rsidRPr="00AF7FFB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AF7FFB" w:rsidRPr="00AF7FFB"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 w:rsidRPr="00AF7FFB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4F7C03" w:rsidRPr="004F7C03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4F7C03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1 -</w:t>
        </w:r>
        <w:r w:rsidRPr="00AF7FFB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AF7FFB" w:rsidRDefault="00AF7FF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22B" w:rsidRDefault="007C222B" w:rsidP="00202B10">
      <w:r>
        <w:separator/>
      </w:r>
    </w:p>
  </w:footnote>
  <w:footnote w:type="continuationSeparator" w:id="1">
    <w:p w:rsidR="007C222B" w:rsidRDefault="007C222B" w:rsidP="00202B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ADC"/>
    <w:rsid w:val="00123DBD"/>
    <w:rsid w:val="001E04F6"/>
    <w:rsid w:val="00202B10"/>
    <w:rsid w:val="002700EE"/>
    <w:rsid w:val="00281F4A"/>
    <w:rsid w:val="00440ADC"/>
    <w:rsid w:val="004F7C03"/>
    <w:rsid w:val="00621CBE"/>
    <w:rsid w:val="00642431"/>
    <w:rsid w:val="00674370"/>
    <w:rsid w:val="007022B8"/>
    <w:rsid w:val="00725448"/>
    <w:rsid w:val="007C222B"/>
    <w:rsid w:val="00833200"/>
    <w:rsid w:val="0090655F"/>
    <w:rsid w:val="00AF7FFB"/>
    <w:rsid w:val="00BB0FEA"/>
    <w:rsid w:val="00D66511"/>
    <w:rsid w:val="00DA71E2"/>
    <w:rsid w:val="00E07B8F"/>
    <w:rsid w:val="00EE2D1C"/>
    <w:rsid w:val="00EE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440ADC"/>
    <w:pPr>
      <w:jc w:val="left"/>
    </w:pPr>
  </w:style>
  <w:style w:type="character" w:customStyle="1" w:styleId="Char">
    <w:name w:val="批注文字 Char"/>
    <w:basedOn w:val="a0"/>
    <w:link w:val="a3"/>
    <w:rsid w:val="00440ADC"/>
    <w:rPr>
      <w:rFonts w:ascii="Times New Roman" w:eastAsia="宋体" w:hAnsi="Times New Roman" w:cs="Times New Roman"/>
      <w:szCs w:val="24"/>
    </w:rPr>
  </w:style>
  <w:style w:type="paragraph" w:styleId="a4">
    <w:name w:val="Body Text"/>
    <w:basedOn w:val="a"/>
    <w:link w:val="Char0"/>
    <w:rsid w:val="00440ADC"/>
    <w:rPr>
      <w:rFonts w:eastAsia="仿宋_GB2312"/>
      <w:spacing w:val="-6"/>
      <w:kern w:val="10"/>
      <w:sz w:val="32"/>
      <w:szCs w:val="32"/>
    </w:rPr>
  </w:style>
  <w:style w:type="character" w:customStyle="1" w:styleId="Char0">
    <w:name w:val="正文文本 Char"/>
    <w:basedOn w:val="a0"/>
    <w:link w:val="a4"/>
    <w:rsid w:val="00440ADC"/>
    <w:rPr>
      <w:rFonts w:ascii="Times New Roman" w:eastAsia="仿宋_GB2312" w:hAnsi="Times New Roman" w:cs="Times New Roman"/>
      <w:spacing w:val="-6"/>
      <w:kern w:val="10"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440AD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0ADC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440ADC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2700EE"/>
    <w:rPr>
      <w:sz w:val="21"/>
      <w:szCs w:val="21"/>
    </w:rPr>
  </w:style>
  <w:style w:type="paragraph" w:styleId="a8">
    <w:name w:val="header"/>
    <w:basedOn w:val="a"/>
    <w:link w:val="Char2"/>
    <w:uiPriority w:val="99"/>
    <w:semiHidden/>
    <w:unhideWhenUsed/>
    <w:rsid w:val="00202B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semiHidden/>
    <w:rsid w:val="00202B10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202B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202B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1CF42-0CA3-4DF1-BA47-E2797C3F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260</Words>
  <Characters>1482</Characters>
  <Application>Microsoft Office Word</Application>
  <DocSecurity>0</DocSecurity>
  <Lines>12</Lines>
  <Paragraphs>3</Paragraphs>
  <ScaleCrop>false</ScaleCrop>
  <Company>Microsoft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2015-11-25T03:10:00Z</cp:lastPrinted>
  <dcterms:created xsi:type="dcterms:W3CDTF">2016-05-04T08:47:00Z</dcterms:created>
  <dcterms:modified xsi:type="dcterms:W3CDTF">2016-05-04T08:47:00Z</dcterms:modified>
</cp:coreProperties>
</file>